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7E951D" w14:textId="6E6A7FBA" w:rsidR="00CD55A8" w:rsidRPr="00CD55A8" w:rsidRDefault="00CD55A8" w:rsidP="00CD55A8">
      <w:pPr>
        <w:widowControl w:val="0"/>
        <w:tabs>
          <w:tab w:val="left" w:pos="1701"/>
          <w:tab w:val="right" w:pos="9639"/>
        </w:tabs>
        <w:spacing w:before="120" w:after="0"/>
        <w:rPr>
          <w:rFonts w:ascii="Arial" w:eastAsia="MS Mincho" w:hAnsi="Arial"/>
          <w:b/>
          <w:sz w:val="24"/>
          <w:szCs w:val="24"/>
          <w:lang w:eastAsia="en-GB"/>
        </w:rPr>
      </w:pPr>
      <w:bookmarkStart w:id="0" w:name="_Toc193024528"/>
      <w:r w:rsidRPr="00CD55A8">
        <w:rPr>
          <w:rFonts w:ascii="Arial" w:eastAsia="MS Mincho" w:hAnsi="Arial"/>
          <w:b/>
          <w:sz w:val="24"/>
          <w:szCs w:val="24"/>
          <w:lang w:eastAsia="en-GB"/>
        </w:rPr>
        <w:t>3GPP TSG-RAN WG2 Meeting #1</w:t>
      </w:r>
      <w:r w:rsidR="00DC2EDA">
        <w:rPr>
          <w:rFonts w:ascii="Arial" w:eastAsia="MS Mincho" w:hAnsi="Arial"/>
          <w:b/>
          <w:sz w:val="24"/>
          <w:szCs w:val="24"/>
          <w:lang w:eastAsia="en-GB"/>
        </w:rPr>
        <w:t>1</w:t>
      </w:r>
      <w:r w:rsidR="00354743">
        <w:rPr>
          <w:rFonts w:ascii="Arial" w:eastAsia="MS Mincho" w:hAnsi="Arial"/>
          <w:b/>
          <w:sz w:val="24"/>
          <w:szCs w:val="24"/>
          <w:lang w:eastAsia="en-GB"/>
        </w:rPr>
        <w:t>2</w:t>
      </w:r>
      <w:r w:rsidRPr="00CD55A8">
        <w:rPr>
          <w:rFonts w:ascii="Arial" w:eastAsia="MS Mincho" w:hAnsi="Arial"/>
          <w:b/>
          <w:sz w:val="24"/>
          <w:szCs w:val="24"/>
          <w:lang w:eastAsia="en-GB"/>
        </w:rPr>
        <w:t xml:space="preserve"> electronic</w:t>
      </w:r>
      <w:r w:rsidRPr="00CD55A8">
        <w:rPr>
          <w:rFonts w:ascii="Arial" w:eastAsia="MS Mincho" w:hAnsi="Arial"/>
          <w:b/>
          <w:sz w:val="24"/>
          <w:szCs w:val="24"/>
          <w:lang w:eastAsia="en-GB"/>
        </w:rPr>
        <w:tab/>
      </w:r>
      <w:r w:rsidR="004C66A8" w:rsidRPr="004C66A8">
        <w:rPr>
          <w:rFonts w:ascii="Arial" w:eastAsia="MS Mincho" w:hAnsi="Arial"/>
          <w:b/>
          <w:sz w:val="24"/>
          <w:szCs w:val="24"/>
          <w:lang w:eastAsia="en-GB"/>
        </w:rPr>
        <w:t>R2-2009412</w:t>
      </w:r>
    </w:p>
    <w:p w14:paraId="0C2B50FB" w14:textId="1F73CD5B" w:rsidR="00CD55A8" w:rsidRPr="00CD55A8" w:rsidRDefault="002732A4" w:rsidP="00CD55A8">
      <w:pPr>
        <w:widowControl w:val="0"/>
        <w:tabs>
          <w:tab w:val="left" w:pos="1701"/>
          <w:tab w:val="right" w:pos="9923"/>
        </w:tabs>
        <w:spacing w:before="120" w:after="0"/>
        <w:rPr>
          <w:rFonts w:ascii="Arial" w:eastAsia="MS Mincho" w:hAnsi="Arial"/>
          <w:b/>
          <w:sz w:val="24"/>
          <w:szCs w:val="24"/>
          <w:lang w:eastAsia="en-GB"/>
        </w:rPr>
      </w:pPr>
      <w:r>
        <w:rPr>
          <w:rFonts w:ascii="Arial" w:hAnsi="Arial" w:cs="Arial"/>
          <w:b/>
          <w:sz w:val="24"/>
          <w:szCs w:val="24"/>
          <w:lang w:val="de-DE" w:eastAsia="zh-CN"/>
        </w:rPr>
        <w:t xml:space="preserve">2 </w:t>
      </w:r>
      <w:r w:rsidR="00DC2EDA">
        <w:rPr>
          <w:rFonts w:ascii="Arial" w:hAnsi="Arial" w:cs="Arial"/>
          <w:b/>
          <w:sz w:val="24"/>
          <w:szCs w:val="24"/>
          <w:lang w:val="de-DE" w:eastAsia="zh-CN"/>
        </w:rPr>
        <w:t xml:space="preserve">– </w:t>
      </w:r>
      <w:r>
        <w:rPr>
          <w:rFonts w:ascii="Arial" w:hAnsi="Arial" w:cs="Arial"/>
          <w:b/>
          <w:sz w:val="24"/>
          <w:szCs w:val="24"/>
          <w:lang w:val="de-DE" w:eastAsia="zh-CN"/>
        </w:rPr>
        <w:t>13</w:t>
      </w:r>
      <w:r w:rsidR="00DC2EDA">
        <w:rPr>
          <w:rFonts w:ascii="Arial" w:hAnsi="Arial" w:cs="Arial"/>
          <w:b/>
          <w:sz w:val="24"/>
          <w:szCs w:val="24"/>
          <w:lang w:val="de-DE" w:eastAsia="zh-CN"/>
        </w:rPr>
        <w:t xml:space="preserve"> </w:t>
      </w:r>
      <w:r>
        <w:rPr>
          <w:rFonts w:ascii="Arial" w:hAnsi="Arial" w:cs="Arial" w:hint="eastAsia"/>
          <w:b/>
          <w:sz w:val="24"/>
          <w:szCs w:val="24"/>
          <w:lang w:val="de-DE" w:eastAsia="zh-CN"/>
        </w:rPr>
        <w:t>November</w:t>
      </w:r>
      <w:r w:rsidR="00CD55A8" w:rsidRPr="00CD55A8">
        <w:rPr>
          <w:rFonts w:ascii="Arial" w:hAnsi="Arial" w:cs="Arial"/>
          <w:b/>
          <w:sz w:val="24"/>
          <w:szCs w:val="24"/>
          <w:lang w:val="de-DE" w:eastAsia="zh-CN"/>
        </w:rPr>
        <w:t xml:space="preserve"> 2020</w:t>
      </w:r>
    </w:p>
    <w:p w14:paraId="70058D36" w14:textId="2EBCDB3F" w:rsidR="00505E15" w:rsidRDefault="00CD55A8" w:rsidP="00614500">
      <w:pPr>
        <w:pStyle w:val="a4"/>
        <w:tabs>
          <w:tab w:val="left" w:pos="6521"/>
        </w:tabs>
        <w:spacing w:after="180"/>
        <w:jc w:val="both"/>
      </w:pPr>
      <w:r>
        <w:rPr>
          <w:lang w:val="en-US" w:eastAsia="zh-CN"/>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0074E46" w14:textId="6DC34C1A" w:rsidR="00505E15" w:rsidRPr="005A3C40" w:rsidRDefault="00505E15" w:rsidP="00614500">
      <w:pPr>
        <w:tabs>
          <w:tab w:val="left" w:pos="1985"/>
        </w:tabs>
        <w:jc w:val="both"/>
        <w:rPr>
          <w:rFonts w:ascii="Arial" w:hAnsi="Arial"/>
          <w:b/>
          <w:sz w:val="24"/>
          <w:lang w:eastAsia="zh-CN"/>
        </w:rPr>
      </w:pPr>
      <w:r w:rsidRPr="007F63FD">
        <w:rPr>
          <w:rFonts w:ascii="Arial" w:hAnsi="Arial"/>
          <w:b/>
          <w:sz w:val="24"/>
        </w:rPr>
        <w:t>Agenda</w:t>
      </w:r>
      <w:r w:rsidRPr="00453930">
        <w:rPr>
          <w:rFonts w:ascii="Arial" w:hAnsi="Arial"/>
          <w:b/>
          <w:sz w:val="24"/>
        </w:rPr>
        <w:t xml:space="preserve"> item:</w:t>
      </w:r>
      <w:r w:rsidRPr="00453930">
        <w:rPr>
          <w:rFonts w:ascii="Arial" w:hAnsi="Arial"/>
          <w:b/>
          <w:sz w:val="24"/>
        </w:rPr>
        <w:tab/>
      </w:r>
      <w:r w:rsidR="004C66A8">
        <w:rPr>
          <w:rFonts w:ascii="Arial" w:hAnsi="Arial"/>
          <w:b/>
          <w:sz w:val="24"/>
        </w:rPr>
        <w:t>8.15.4</w:t>
      </w:r>
    </w:p>
    <w:p w14:paraId="53529E6F" w14:textId="77777777" w:rsidR="00505E15" w:rsidRPr="005A3C40" w:rsidRDefault="00505E15" w:rsidP="00614500">
      <w:pPr>
        <w:tabs>
          <w:tab w:val="left" w:pos="1985"/>
        </w:tabs>
        <w:jc w:val="both"/>
        <w:rPr>
          <w:rFonts w:ascii="Arial" w:hAnsi="Arial"/>
          <w:b/>
          <w:sz w:val="24"/>
        </w:rPr>
      </w:pPr>
      <w:r w:rsidRPr="005A3C40">
        <w:rPr>
          <w:rFonts w:ascii="Arial" w:hAnsi="Arial"/>
          <w:b/>
          <w:sz w:val="24"/>
        </w:rPr>
        <w:t xml:space="preserve">Source: </w:t>
      </w:r>
      <w:r w:rsidRPr="005A3C40">
        <w:rPr>
          <w:rFonts w:ascii="Arial" w:hAnsi="Arial"/>
          <w:b/>
          <w:sz w:val="24"/>
        </w:rPr>
        <w:tab/>
        <w:t>Huawei, HiSilicon</w:t>
      </w:r>
    </w:p>
    <w:p w14:paraId="2394DB59" w14:textId="104CFA50" w:rsidR="00505E15" w:rsidRPr="005A3C40" w:rsidRDefault="00505E15" w:rsidP="00764817">
      <w:pPr>
        <w:ind w:left="1983" w:hangingChars="823" w:hanging="1983"/>
        <w:jc w:val="both"/>
        <w:rPr>
          <w:rFonts w:ascii="Arial" w:hAnsi="Arial"/>
          <w:b/>
          <w:sz w:val="24"/>
        </w:rPr>
      </w:pPr>
      <w:r w:rsidRPr="005A3C40">
        <w:rPr>
          <w:rFonts w:ascii="Arial" w:hAnsi="Arial"/>
          <w:b/>
          <w:sz w:val="24"/>
        </w:rPr>
        <w:t xml:space="preserve">Title: </w:t>
      </w:r>
      <w:r w:rsidRPr="005A3C40">
        <w:rPr>
          <w:rFonts w:ascii="Arial" w:hAnsi="Arial"/>
          <w:b/>
          <w:sz w:val="24"/>
        </w:rPr>
        <w:tab/>
      </w:r>
      <w:r w:rsidR="00DD65DF" w:rsidRPr="00DD65DF">
        <w:rPr>
          <w:rFonts w:ascii="Arial" w:hAnsi="Arial"/>
          <w:b/>
          <w:sz w:val="24"/>
        </w:rPr>
        <w:t xml:space="preserve">Discussion on </w:t>
      </w:r>
      <w:r w:rsidR="00DD4E75">
        <w:rPr>
          <w:rFonts w:ascii="Arial" w:hAnsi="Arial"/>
          <w:b/>
          <w:sz w:val="24"/>
        </w:rPr>
        <w:t xml:space="preserve">WI objective 5: </w:t>
      </w:r>
      <w:r w:rsidR="00DD65DF" w:rsidRPr="00DD65DF">
        <w:rPr>
          <w:rFonts w:ascii="Arial" w:hAnsi="Arial"/>
          <w:b/>
          <w:sz w:val="24"/>
        </w:rPr>
        <w:t>confining sidelink operation to a predetermined geographic area(s) for a g</w:t>
      </w:r>
      <w:bookmarkStart w:id="1" w:name="_GoBack"/>
      <w:bookmarkEnd w:id="1"/>
      <w:r w:rsidR="00DD65DF" w:rsidRPr="00DD65DF">
        <w:rPr>
          <w:rFonts w:ascii="Arial" w:hAnsi="Arial"/>
          <w:b/>
          <w:sz w:val="24"/>
        </w:rPr>
        <w:t>iven frequency range</w:t>
      </w:r>
    </w:p>
    <w:p w14:paraId="20AFA2B3" w14:textId="77777777" w:rsidR="00505E15" w:rsidRPr="005A3C40" w:rsidRDefault="00505E15" w:rsidP="00614500">
      <w:pPr>
        <w:tabs>
          <w:tab w:val="left" w:pos="1985"/>
        </w:tabs>
        <w:jc w:val="both"/>
        <w:rPr>
          <w:rFonts w:ascii="Arial" w:hAnsi="Arial"/>
          <w:b/>
          <w:sz w:val="24"/>
        </w:rPr>
      </w:pPr>
      <w:r w:rsidRPr="005A3C40">
        <w:rPr>
          <w:rFonts w:ascii="Arial" w:hAnsi="Arial"/>
          <w:b/>
          <w:sz w:val="24"/>
        </w:rPr>
        <w:t>Document for:</w:t>
      </w:r>
      <w:r w:rsidRPr="005A3C40">
        <w:rPr>
          <w:rFonts w:ascii="Arial" w:hAnsi="Arial"/>
          <w:b/>
          <w:sz w:val="24"/>
        </w:rPr>
        <w:tab/>
        <w:t xml:space="preserve">Discussion and </w:t>
      </w:r>
      <w:r w:rsidRPr="005A3C40">
        <w:rPr>
          <w:rFonts w:ascii="Arial" w:hAnsi="Arial" w:hint="eastAsia"/>
          <w:b/>
          <w:sz w:val="24"/>
          <w:lang w:eastAsia="zh-CN"/>
        </w:rPr>
        <w:t>D</w:t>
      </w:r>
      <w:r w:rsidRPr="005A3C40">
        <w:rPr>
          <w:rFonts w:ascii="Arial" w:hAnsi="Arial"/>
          <w:b/>
          <w:sz w:val="24"/>
        </w:rPr>
        <w:t>ecision</w:t>
      </w:r>
    </w:p>
    <w:p w14:paraId="0D017DCE" w14:textId="77777777" w:rsidR="00A0015A" w:rsidRDefault="00A0015A" w:rsidP="00F7629D">
      <w:pPr>
        <w:pStyle w:val="1"/>
        <w:spacing w:line="276" w:lineRule="auto"/>
        <w:jc w:val="both"/>
        <w:rPr>
          <w:lang w:eastAsia="zh-CN"/>
        </w:rPr>
      </w:pPr>
      <w:r w:rsidRPr="00CC0168">
        <w:rPr>
          <w:lang w:eastAsia="zh-CN"/>
        </w:rPr>
        <w:t>Introduction</w:t>
      </w:r>
    </w:p>
    <w:p w14:paraId="5FB4A193" w14:textId="6B773361" w:rsidR="0023135C" w:rsidRDefault="0023135C" w:rsidP="0023135C">
      <w:pPr>
        <w:spacing w:before="180"/>
        <w:rPr>
          <w:sz w:val="21"/>
          <w:szCs w:val="21"/>
          <w:lang w:val="en-US" w:eastAsia="zh-CN"/>
        </w:rPr>
      </w:pPr>
      <w:r>
        <w:rPr>
          <w:sz w:val="21"/>
          <w:szCs w:val="21"/>
          <w:lang w:val="en-US" w:eastAsia="zh-CN"/>
        </w:rPr>
        <w:t xml:space="preserve">In RAN#86, a R17 </w:t>
      </w:r>
      <w:r>
        <w:rPr>
          <w:rFonts w:hint="eastAsia"/>
          <w:sz w:val="21"/>
          <w:szCs w:val="21"/>
          <w:lang w:val="en-US" w:eastAsia="zh-CN"/>
        </w:rPr>
        <w:t>WID</w:t>
      </w:r>
      <w:r>
        <w:rPr>
          <w:sz w:val="21"/>
          <w:szCs w:val="21"/>
          <w:lang w:val="en-US" w:eastAsia="zh-CN"/>
        </w:rPr>
        <w:t xml:space="preserve"> on NR s</w:t>
      </w:r>
      <w:r w:rsidRPr="00282F6D">
        <w:rPr>
          <w:sz w:val="21"/>
          <w:szCs w:val="21"/>
          <w:lang w:val="en-US" w:eastAsia="zh-CN"/>
        </w:rPr>
        <w:t xml:space="preserve">idelink </w:t>
      </w:r>
      <w:r>
        <w:rPr>
          <w:rFonts w:hint="eastAsia"/>
          <w:sz w:val="21"/>
          <w:szCs w:val="21"/>
          <w:lang w:val="en-US" w:eastAsia="zh-CN"/>
        </w:rPr>
        <w:t>enhancement</w:t>
      </w:r>
      <w:r>
        <w:rPr>
          <w:sz w:val="21"/>
          <w:szCs w:val="21"/>
          <w:lang w:val="en-US" w:eastAsia="zh-CN"/>
        </w:rPr>
        <w:t xml:space="preserve"> has been approved [1]. O</w:t>
      </w:r>
      <w:r w:rsidR="00EB191B">
        <w:rPr>
          <w:sz w:val="21"/>
          <w:szCs w:val="21"/>
          <w:lang w:val="en-US" w:eastAsia="zh-CN"/>
        </w:rPr>
        <w:t xml:space="preserve">ne of the objectives </w:t>
      </w:r>
      <w:r>
        <w:rPr>
          <w:sz w:val="21"/>
          <w:szCs w:val="21"/>
          <w:lang w:val="en-US" w:eastAsia="zh-CN"/>
        </w:rPr>
        <w:t xml:space="preserve">in this </w:t>
      </w:r>
      <w:r>
        <w:rPr>
          <w:rFonts w:hint="eastAsia"/>
          <w:sz w:val="21"/>
          <w:szCs w:val="21"/>
          <w:lang w:val="en-US" w:eastAsia="zh-CN"/>
        </w:rPr>
        <w:t>W</w:t>
      </w:r>
      <w:r>
        <w:rPr>
          <w:sz w:val="21"/>
          <w:szCs w:val="21"/>
          <w:lang w:val="en-US" w:eastAsia="zh-CN"/>
        </w:rPr>
        <w:t xml:space="preserve">ID </w:t>
      </w:r>
      <w:r w:rsidRPr="00282F6D">
        <w:rPr>
          <w:sz w:val="21"/>
          <w:szCs w:val="21"/>
          <w:lang w:val="en-US" w:eastAsia="zh-CN"/>
        </w:rPr>
        <w:t xml:space="preserve">is </w:t>
      </w:r>
      <w:r w:rsidR="003422C2">
        <w:rPr>
          <w:sz w:val="21"/>
          <w:szCs w:val="21"/>
          <w:lang w:val="en-US" w:eastAsia="zh-CN"/>
        </w:rPr>
        <w:t>as follows</w:t>
      </w:r>
      <w:r>
        <w:rPr>
          <w:sz w:val="21"/>
          <w:szCs w:val="21"/>
          <w:lang w:val="en-US" w:eastAsia="zh-CN"/>
        </w:rPr>
        <w:t>:</w:t>
      </w:r>
    </w:p>
    <w:tbl>
      <w:tblPr>
        <w:tblStyle w:val="af2"/>
        <w:tblW w:w="0" w:type="auto"/>
        <w:tblLook w:val="04A0" w:firstRow="1" w:lastRow="0" w:firstColumn="1" w:lastColumn="0" w:noHBand="0" w:noVBand="1"/>
      </w:tblPr>
      <w:tblGrid>
        <w:gridCol w:w="9629"/>
      </w:tblGrid>
      <w:tr w:rsidR="0023135C" w14:paraId="7F3FDBD0" w14:textId="77777777" w:rsidTr="003F573A">
        <w:tc>
          <w:tcPr>
            <w:tcW w:w="9629" w:type="dxa"/>
          </w:tcPr>
          <w:p w14:paraId="3DC80126" w14:textId="77777777" w:rsidR="0019327A" w:rsidRDefault="0019327A" w:rsidP="0019327A">
            <w:pPr>
              <w:rPr>
                <w:lang w:eastAsia="ko-KR"/>
              </w:rPr>
            </w:pPr>
            <w:r>
              <w:rPr>
                <w:lang w:eastAsia="ko-KR"/>
              </w:rPr>
              <w:t>5. Define mechanism to ensure sidelink operation can be confined to a predetermined geographic area(s) for a given frequency range within non-ITS bands [RAN2].</w:t>
            </w:r>
          </w:p>
          <w:p w14:paraId="10A75A4C" w14:textId="441ABE7C" w:rsidR="0023135C" w:rsidRPr="006959B8" w:rsidRDefault="0019327A" w:rsidP="006959B8">
            <w:pPr>
              <w:numPr>
                <w:ilvl w:val="0"/>
                <w:numId w:val="34"/>
              </w:numPr>
              <w:overflowPunct w:val="0"/>
              <w:autoSpaceDE w:val="0"/>
              <w:autoSpaceDN w:val="0"/>
              <w:adjustRightInd w:val="0"/>
              <w:textAlignment w:val="baseline"/>
              <w:rPr>
                <w:lang w:eastAsia="ko-KR"/>
              </w:rPr>
            </w:pPr>
            <w:r>
              <w:rPr>
                <w:lang w:eastAsia="ko-KR"/>
              </w:rPr>
              <w:t>This applies areas where there is no network coverage.</w:t>
            </w:r>
          </w:p>
        </w:tc>
      </w:tr>
    </w:tbl>
    <w:p w14:paraId="1F5291B9" w14:textId="2B70508C" w:rsidR="0019435A" w:rsidRPr="00655CCE" w:rsidRDefault="0023135C" w:rsidP="00655CCE">
      <w:pPr>
        <w:spacing w:before="180"/>
        <w:rPr>
          <w:sz w:val="21"/>
          <w:szCs w:val="21"/>
          <w:lang w:val="en-US" w:eastAsia="zh-CN"/>
        </w:rPr>
      </w:pPr>
      <w:r>
        <w:rPr>
          <w:rFonts w:hint="eastAsia"/>
          <w:sz w:val="21"/>
          <w:szCs w:val="21"/>
          <w:lang w:val="en-US" w:eastAsia="zh-CN"/>
        </w:rPr>
        <w:t>I</w:t>
      </w:r>
      <w:r w:rsidR="00C25563">
        <w:rPr>
          <w:sz w:val="21"/>
          <w:szCs w:val="21"/>
          <w:lang w:val="en-US" w:eastAsia="zh-CN"/>
        </w:rPr>
        <w:t xml:space="preserve">n this paper, we discuss </w:t>
      </w:r>
      <w:r w:rsidR="00093ECD">
        <w:rPr>
          <w:sz w:val="21"/>
          <w:szCs w:val="21"/>
          <w:lang w:val="en-US" w:eastAsia="zh-CN"/>
        </w:rPr>
        <w:t>whether some work needs to be</w:t>
      </w:r>
      <w:r w:rsidR="00093ECD">
        <w:rPr>
          <w:rFonts w:hint="eastAsia"/>
          <w:sz w:val="21"/>
          <w:szCs w:val="21"/>
          <w:lang w:val="en-US" w:eastAsia="zh-CN"/>
        </w:rPr>
        <w:t xml:space="preserve"> done</w:t>
      </w:r>
      <w:r w:rsidR="00093ECD">
        <w:rPr>
          <w:sz w:val="21"/>
          <w:szCs w:val="21"/>
          <w:lang w:val="en-US" w:eastAsia="zh-CN"/>
        </w:rPr>
        <w:t xml:space="preserve"> in </w:t>
      </w:r>
      <w:r w:rsidR="003E7ADB">
        <w:rPr>
          <w:sz w:val="21"/>
          <w:szCs w:val="21"/>
          <w:lang w:val="en-US" w:eastAsia="zh-CN"/>
        </w:rPr>
        <w:t>Rel-17 SL enhancement WI by RAN WGs</w:t>
      </w:r>
      <w:r w:rsidR="00093ECD">
        <w:rPr>
          <w:sz w:val="21"/>
          <w:szCs w:val="21"/>
          <w:lang w:val="en-US" w:eastAsia="zh-CN"/>
        </w:rPr>
        <w:t xml:space="preserve"> </w:t>
      </w:r>
      <w:r w:rsidR="00C25563">
        <w:rPr>
          <w:sz w:val="21"/>
          <w:szCs w:val="21"/>
          <w:lang w:val="en-US" w:eastAsia="zh-CN"/>
        </w:rPr>
        <w:t>to achieve th</w:t>
      </w:r>
      <w:r w:rsidR="00822E07">
        <w:rPr>
          <w:sz w:val="21"/>
          <w:szCs w:val="21"/>
          <w:lang w:val="en-US" w:eastAsia="zh-CN"/>
        </w:rPr>
        <w:t>is</w:t>
      </w:r>
      <w:r w:rsidR="00C25563">
        <w:rPr>
          <w:sz w:val="21"/>
          <w:szCs w:val="21"/>
          <w:lang w:val="en-US" w:eastAsia="zh-CN"/>
        </w:rPr>
        <w:t xml:space="preserve"> objective</w:t>
      </w:r>
      <w:r>
        <w:rPr>
          <w:sz w:val="21"/>
          <w:szCs w:val="21"/>
          <w:lang w:val="en-US" w:eastAsia="zh-CN"/>
        </w:rPr>
        <w:t>.</w:t>
      </w:r>
    </w:p>
    <w:p w14:paraId="332FE8BC" w14:textId="417F6393" w:rsidR="00FF69BB" w:rsidRPr="00EF67EC" w:rsidRDefault="00354743" w:rsidP="00FF69BB">
      <w:pPr>
        <w:pStyle w:val="1"/>
        <w:spacing w:line="276" w:lineRule="auto"/>
        <w:jc w:val="both"/>
        <w:rPr>
          <w:lang w:eastAsia="zh-CN"/>
        </w:rPr>
      </w:pPr>
      <w:r>
        <w:rPr>
          <w:lang w:eastAsia="zh-CN"/>
        </w:rPr>
        <w:t>Discussion</w:t>
      </w:r>
    </w:p>
    <w:p w14:paraId="0AA01212" w14:textId="5065B76D" w:rsidR="001B23DA" w:rsidRDefault="008E2FA4" w:rsidP="00123C8E">
      <w:pPr>
        <w:jc w:val="both"/>
        <w:rPr>
          <w:kern w:val="2"/>
          <w:lang w:eastAsia="zh-CN"/>
        </w:rPr>
      </w:pPr>
      <w:r>
        <w:rPr>
          <w:kern w:val="2"/>
          <w:lang w:eastAsia="zh-CN"/>
        </w:rPr>
        <w:t xml:space="preserve">According to </w:t>
      </w:r>
      <w:r w:rsidR="001B23DA">
        <w:rPr>
          <w:kern w:val="2"/>
          <w:lang w:eastAsia="zh-CN"/>
        </w:rPr>
        <w:t xml:space="preserve">Rel-16 version of </w:t>
      </w:r>
      <w:r w:rsidR="001C23D1">
        <w:rPr>
          <w:kern w:val="2"/>
          <w:lang w:eastAsia="zh-CN"/>
        </w:rPr>
        <w:t xml:space="preserve">SA2 </w:t>
      </w:r>
      <w:r w:rsidR="001B23DA">
        <w:rPr>
          <w:kern w:val="2"/>
          <w:lang w:eastAsia="zh-CN"/>
        </w:rPr>
        <w:t xml:space="preserve">Spec, </w:t>
      </w:r>
      <w:r>
        <w:rPr>
          <w:lang w:eastAsia="zh-CN"/>
        </w:rPr>
        <w:t xml:space="preserve">TS </w:t>
      </w:r>
      <w:r w:rsidRPr="004036D0">
        <w:rPr>
          <w:lang w:eastAsia="zh-CN"/>
        </w:rPr>
        <w:t>23</w:t>
      </w:r>
      <w:r>
        <w:rPr>
          <w:lang w:eastAsia="zh-CN"/>
        </w:rPr>
        <w:t>.</w:t>
      </w:r>
      <w:r w:rsidRPr="004036D0">
        <w:rPr>
          <w:lang w:eastAsia="zh-CN"/>
        </w:rPr>
        <w:t>287</w:t>
      </w:r>
      <w:r w:rsidR="00B45EB1">
        <w:rPr>
          <w:lang w:eastAsia="zh-CN"/>
        </w:rPr>
        <w:t xml:space="preserve"> [2]</w:t>
      </w:r>
      <w:r w:rsidR="00586B4A">
        <w:rPr>
          <w:lang w:eastAsia="zh-CN"/>
        </w:rPr>
        <w:t xml:space="preserve">, </w:t>
      </w:r>
      <w:r w:rsidR="00AB4DA8">
        <w:rPr>
          <w:kern w:val="2"/>
          <w:lang w:eastAsia="zh-CN"/>
        </w:rPr>
        <w:t>the</w:t>
      </w:r>
      <w:r w:rsidR="00586B4A">
        <w:rPr>
          <w:kern w:val="2"/>
          <w:lang w:eastAsia="zh-CN"/>
        </w:rPr>
        <w:t xml:space="preserve"> </w:t>
      </w:r>
      <w:r w:rsidR="001B23DA">
        <w:rPr>
          <w:kern w:val="2"/>
          <w:lang w:eastAsia="zh-CN"/>
        </w:rPr>
        <w:t xml:space="preserve">below mechanism </w:t>
      </w:r>
      <w:r w:rsidR="009D07CF">
        <w:rPr>
          <w:kern w:val="2"/>
          <w:lang w:eastAsia="zh-CN"/>
        </w:rPr>
        <w:t xml:space="preserve">in Table 1 </w:t>
      </w:r>
      <w:r w:rsidR="001B23DA">
        <w:rPr>
          <w:kern w:val="2"/>
          <w:lang w:eastAsia="zh-CN"/>
        </w:rPr>
        <w:t>for pre-con</w:t>
      </w:r>
      <w:r w:rsidR="009D07CF">
        <w:rPr>
          <w:kern w:val="2"/>
          <w:lang w:eastAsia="zh-CN"/>
        </w:rPr>
        <w:t>figuration</w:t>
      </w:r>
      <w:r w:rsidR="001B23DA">
        <w:rPr>
          <w:kern w:val="2"/>
          <w:lang w:eastAsia="zh-CN"/>
        </w:rPr>
        <w:t xml:space="preserve"> </w:t>
      </w:r>
      <w:r w:rsidR="00586B4A">
        <w:rPr>
          <w:kern w:val="2"/>
          <w:lang w:eastAsia="zh-CN"/>
        </w:rPr>
        <w:t xml:space="preserve">parameter </w:t>
      </w:r>
      <w:r w:rsidR="001B23DA">
        <w:rPr>
          <w:kern w:val="2"/>
          <w:lang w:eastAsia="zh-CN"/>
        </w:rPr>
        <w:t>provisioning and related UE procedure have already</w:t>
      </w:r>
      <w:r w:rsidR="009D07CF">
        <w:rPr>
          <w:kern w:val="2"/>
          <w:lang w:eastAsia="zh-CN"/>
        </w:rPr>
        <w:t xml:space="preserve"> been specified</w:t>
      </w:r>
      <w:r w:rsidR="001B23DA">
        <w:rPr>
          <w:kern w:val="2"/>
          <w:lang w:eastAsia="zh-CN"/>
        </w:rPr>
        <w:t xml:space="preserve"> in Rel-16 for NR SL communication:</w:t>
      </w:r>
    </w:p>
    <w:p w14:paraId="76DC2753" w14:textId="7F9E53B5" w:rsidR="005E40FD" w:rsidRDefault="008601CD" w:rsidP="00123C8E">
      <w:pPr>
        <w:jc w:val="both"/>
        <w:rPr>
          <w:kern w:val="2"/>
          <w:lang w:eastAsia="zh-CN"/>
        </w:rPr>
      </w:pPr>
      <w:r>
        <w:rPr>
          <w:kern w:val="2"/>
          <w:lang w:eastAsia="zh-CN"/>
        </w:rPr>
        <w:t xml:space="preserve">It can be seen from </w:t>
      </w:r>
      <w:r w:rsidR="009D07CF">
        <w:rPr>
          <w:kern w:val="2"/>
          <w:lang w:eastAsia="zh-CN"/>
        </w:rPr>
        <w:t>Table 1 that as per</w:t>
      </w:r>
      <w:r w:rsidR="00192FB1">
        <w:rPr>
          <w:kern w:val="2"/>
          <w:lang w:eastAsia="zh-CN"/>
        </w:rPr>
        <w:t xml:space="preserve"> </w:t>
      </w:r>
      <w:r>
        <w:rPr>
          <w:kern w:val="2"/>
          <w:lang w:eastAsia="zh-CN"/>
        </w:rPr>
        <w:t xml:space="preserve">Rel-16 version of </w:t>
      </w:r>
      <w:r w:rsidR="00FE3176">
        <w:rPr>
          <w:kern w:val="2"/>
          <w:lang w:eastAsia="zh-CN"/>
        </w:rPr>
        <w:t>TS 23.287</w:t>
      </w:r>
      <w:r w:rsidR="009D07CF">
        <w:rPr>
          <w:kern w:val="2"/>
          <w:lang w:eastAsia="zh-CN"/>
        </w:rPr>
        <w:t>,</w:t>
      </w:r>
      <w:r>
        <w:rPr>
          <w:kern w:val="2"/>
          <w:lang w:eastAsia="zh-CN"/>
        </w:rPr>
        <w:t xml:space="preserve"> </w:t>
      </w:r>
      <w:r w:rsidR="00FE3176">
        <w:rPr>
          <w:kern w:val="2"/>
          <w:lang w:eastAsia="zh-CN"/>
        </w:rPr>
        <w:t xml:space="preserve">a </w:t>
      </w:r>
      <w:r>
        <w:rPr>
          <w:kern w:val="2"/>
          <w:lang w:eastAsia="zh-CN"/>
        </w:rPr>
        <w:t xml:space="preserve">Rel-16 </w:t>
      </w:r>
      <w:r w:rsidR="00FE3176">
        <w:rPr>
          <w:kern w:val="2"/>
          <w:lang w:eastAsia="zh-CN"/>
        </w:rPr>
        <w:t xml:space="preserve">UE </w:t>
      </w:r>
      <w:r>
        <w:rPr>
          <w:kern w:val="2"/>
          <w:lang w:eastAsia="zh-CN"/>
        </w:rPr>
        <w:t>has already been</w:t>
      </w:r>
      <w:r w:rsidR="00822E07">
        <w:rPr>
          <w:kern w:val="2"/>
          <w:lang w:eastAsia="zh-CN"/>
        </w:rPr>
        <w:t xml:space="preserve"> able to be</w:t>
      </w:r>
      <w:r>
        <w:rPr>
          <w:kern w:val="2"/>
          <w:lang w:eastAsia="zh-CN"/>
        </w:rPr>
        <w:t xml:space="preserve"> </w:t>
      </w:r>
      <w:r w:rsidR="00FE3176">
        <w:rPr>
          <w:kern w:val="2"/>
          <w:lang w:eastAsia="zh-CN"/>
        </w:rPr>
        <w:t>pre</w:t>
      </w:r>
      <w:r w:rsidR="00822E07">
        <w:rPr>
          <w:kern w:val="2"/>
          <w:lang w:eastAsia="zh-CN"/>
        </w:rPr>
        <w:t>-</w:t>
      </w:r>
      <w:r w:rsidR="00FE3176">
        <w:rPr>
          <w:kern w:val="2"/>
          <w:lang w:eastAsia="zh-CN"/>
        </w:rPr>
        <w:t xml:space="preserve">configured with the carrier frequency(ies), on the corresponding frequency band(s), </w:t>
      </w:r>
      <w:r w:rsidR="009D07CF">
        <w:rPr>
          <w:kern w:val="2"/>
          <w:lang w:eastAsia="zh-CN"/>
        </w:rPr>
        <w:t xml:space="preserve">on </w:t>
      </w:r>
      <w:r>
        <w:rPr>
          <w:kern w:val="2"/>
          <w:lang w:eastAsia="zh-CN"/>
        </w:rPr>
        <w:t>which</w:t>
      </w:r>
      <w:r w:rsidR="00FE3176">
        <w:rPr>
          <w:kern w:val="2"/>
          <w:lang w:eastAsia="zh-CN"/>
        </w:rPr>
        <w:t xml:space="preserve"> </w:t>
      </w:r>
      <w:r w:rsidR="009D07CF">
        <w:rPr>
          <w:kern w:val="2"/>
          <w:lang w:eastAsia="zh-CN"/>
        </w:rPr>
        <w:t xml:space="preserve">the UE is </w:t>
      </w:r>
      <w:r w:rsidR="00FE3176">
        <w:rPr>
          <w:kern w:val="2"/>
          <w:lang w:eastAsia="zh-CN"/>
        </w:rPr>
        <w:t xml:space="preserve">allowed to perform NR SL communication </w:t>
      </w:r>
      <w:r w:rsidR="009D07CF">
        <w:rPr>
          <w:kern w:val="2"/>
          <w:lang w:eastAsia="zh-CN"/>
        </w:rPr>
        <w:t>in a given geographical area(s)</w:t>
      </w:r>
      <w:r w:rsidR="009D5622">
        <w:rPr>
          <w:kern w:val="2"/>
          <w:lang w:eastAsia="zh-CN"/>
        </w:rPr>
        <w:t>.</w:t>
      </w:r>
      <w:r w:rsidR="00822E07">
        <w:rPr>
          <w:kern w:val="2"/>
          <w:lang w:eastAsia="zh-CN"/>
        </w:rPr>
        <w:t xml:space="preserve"> T</w:t>
      </w:r>
      <w:r>
        <w:rPr>
          <w:kern w:val="2"/>
          <w:lang w:eastAsia="zh-CN"/>
        </w:rPr>
        <w:t>his pre</w:t>
      </w:r>
      <w:r w:rsidR="00192FB1">
        <w:rPr>
          <w:kern w:val="2"/>
          <w:lang w:eastAsia="zh-CN"/>
        </w:rPr>
        <w:t>-</w:t>
      </w:r>
      <w:r>
        <w:rPr>
          <w:kern w:val="2"/>
          <w:lang w:eastAsia="zh-CN"/>
        </w:rPr>
        <w:t>configuration makes a</w:t>
      </w:r>
      <w:r w:rsidR="00FE3176">
        <w:rPr>
          <w:kern w:val="2"/>
          <w:lang w:eastAsia="zh-CN"/>
        </w:rPr>
        <w:t xml:space="preserve"> </w:t>
      </w:r>
      <w:r>
        <w:rPr>
          <w:kern w:val="2"/>
          <w:lang w:eastAsia="zh-CN"/>
        </w:rPr>
        <w:t xml:space="preserve">Rel-16 </w:t>
      </w:r>
      <w:r w:rsidR="00FE3176">
        <w:rPr>
          <w:kern w:val="2"/>
          <w:lang w:eastAsia="zh-CN"/>
        </w:rPr>
        <w:t>UE located in a Geographical area only</w:t>
      </w:r>
      <w:r w:rsidR="009D07CF">
        <w:rPr>
          <w:kern w:val="2"/>
          <w:lang w:eastAsia="zh-CN"/>
        </w:rPr>
        <w:t xml:space="preserve"> able to perform NR SL communication with</w:t>
      </w:r>
      <w:r w:rsidR="00FE3176">
        <w:rPr>
          <w:kern w:val="2"/>
          <w:lang w:eastAsia="zh-CN"/>
        </w:rPr>
        <w:t xml:space="preserve"> the carrier frequenc</w:t>
      </w:r>
      <w:r>
        <w:rPr>
          <w:kern w:val="2"/>
          <w:lang w:eastAsia="zh-CN"/>
        </w:rPr>
        <w:t>y(ies)</w:t>
      </w:r>
      <w:r w:rsidR="00FE3176">
        <w:rPr>
          <w:kern w:val="2"/>
          <w:lang w:eastAsia="zh-CN"/>
        </w:rPr>
        <w:t>/frequency band</w:t>
      </w:r>
      <w:r>
        <w:rPr>
          <w:kern w:val="2"/>
          <w:lang w:eastAsia="zh-CN"/>
        </w:rPr>
        <w:t>(s)</w:t>
      </w:r>
      <w:r w:rsidR="00FE3176">
        <w:rPr>
          <w:kern w:val="2"/>
          <w:lang w:eastAsia="zh-CN"/>
        </w:rPr>
        <w:t xml:space="preserve"> </w:t>
      </w:r>
      <w:r w:rsidR="009D07CF">
        <w:rPr>
          <w:kern w:val="2"/>
          <w:lang w:eastAsia="zh-CN"/>
        </w:rPr>
        <w:t>provided in the pre</w:t>
      </w:r>
      <w:r w:rsidR="00757D95">
        <w:rPr>
          <w:kern w:val="2"/>
          <w:lang w:eastAsia="zh-CN"/>
        </w:rPr>
        <w:t>-</w:t>
      </w:r>
      <w:r w:rsidR="009D07CF">
        <w:rPr>
          <w:kern w:val="2"/>
          <w:lang w:eastAsia="zh-CN"/>
        </w:rPr>
        <w:t>configuration for the associated</w:t>
      </w:r>
      <w:r>
        <w:rPr>
          <w:kern w:val="2"/>
          <w:lang w:eastAsia="zh-CN"/>
        </w:rPr>
        <w:t xml:space="preserve"> </w:t>
      </w:r>
      <w:r w:rsidR="009D07CF">
        <w:rPr>
          <w:kern w:val="2"/>
          <w:lang w:eastAsia="zh-CN"/>
        </w:rPr>
        <w:t xml:space="preserve">the </w:t>
      </w:r>
      <w:r w:rsidR="00FE3176">
        <w:rPr>
          <w:kern w:val="2"/>
          <w:lang w:eastAsia="zh-CN"/>
        </w:rPr>
        <w:t xml:space="preserve">Geographical area, </w:t>
      </w:r>
      <w:r w:rsidR="009D07CF">
        <w:rPr>
          <w:kern w:val="2"/>
          <w:lang w:eastAsia="zh-CN"/>
        </w:rPr>
        <w:t>in case</w:t>
      </w:r>
      <w:r>
        <w:rPr>
          <w:kern w:val="2"/>
          <w:lang w:eastAsia="zh-CN"/>
        </w:rPr>
        <w:t xml:space="preserve"> </w:t>
      </w:r>
      <w:r w:rsidR="00FE3176">
        <w:rPr>
          <w:kern w:val="2"/>
          <w:lang w:eastAsia="zh-CN"/>
        </w:rPr>
        <w:t xml:space="preserve">the carrier </w:t>
      </w:r>
      <w:r>
        <w:rPr>
          <w:kern w:val="2"/>
          <w:lang w:eastAsia="zh-CN"/>
        </w:rPr>
        <w:t>frequency(ies)</w:t>
      </w:r>
      <w:r w:rsidR="009D5622">
        <w:rPr>
          <w:kern w:val="2"/>
          <w:lang w:eastAsia="zh-CN"/>
        </w:rPr>
        <w:t xml:space="preserve"> are</w:t>
      </w:r>
      <w:r w:rsidR="00FE3176">
        <w:rPr>
          <w:kern w:val="2"/>
          <w:lang w:eastAsia="zh-CN"/>
        </w:rPr>
        <w:t xml:space="preserve"> non-operator managed</w:t>
      </w:r>
      <w:r w:rsidR="009D5622">
        <w:rPr>
          <w:kern w:val="2"/>
          <w:lang w:eastAsia="zh-CN"/>
        </w:rPr>
        <w:t xml:space="preserve"> (thus</w:t>
      </w:r>
      <w:r>
        <w:rPr>
          <w:kern w:val="2"/>
          <w:lang w:eastAsia="zh-CN"/>
        </w:rPr>
        <w:t xml:space="preserve"> on non-operator managed band(s)</w:t>
      </w:r>
      <w:r w:rsidR="009D5622">
        <w:rPr>
          <w:kern w:val="2"/>
          <w:lang w:eastAsia="zh-CN"/>
        </w:rPr>
        <w:t>)</w:t>
      </w:r>
      <w:r w:rsidR="009D07CF">
        <w:rPr>
          <w:kern w:val="2"/>
          <w:lang w:eastAsia="zh-CN"/>
        </w:rPr>
        <w:t xml:space="preserve"> </w:t>
      </w:r>
      <w:r>
        <w:rPr>
          <w:kern w:val="2"/>
          <w:lang w:eastAsia="zh-CN"/>
        </w:rPr>
        <w:t>or the UE is not served by E-UTRAN/NR Uu (e.g. no NW coverage in the UE’s current location).</w:t>
      </w:r>
      <w:r w:rsidR="009D07CF">
        <w:rPr>
          <w:kern w:val="2"/>
          <w:lang w:eastAsia="zh-CN"/>
        </w:rPr>
        <w:t xml:space="preserve"> </w:t>
      </w:r>
      <w:r>
        <w:rPr>
          <w:kern w:val="2"/>
          <w:lang w:eastAsia="zh-CN"/>
        </w:rPr>
        <w:t xml:space="preserve">It should be </w:t>
      </w:r>
      <w:r w:rsidR="009D07CF">
        <w:rPr>
          <w:kern w:val="2"/>
          <w:lang w:eastAsia="zh-CN"/>
        </w:rPr>
        <w:t xml:space="preserve">also </w:t>
      </w:r>
      <w:r>
        <w:rPr>
          <w:kern w:val="2"/>
          <w:lang w:eastAsia="zh-CN"/>
        </w:rPr>
        <w:t xml:space="preserve">noted that the above </w:t>
      </w:r>
      <w:r w:rsidR="00822E07">
        <w:rPr>
          <w:kern w:val="2"/>
          <w:lang w:eastAsia="zh-CN"/>
        </w:rPr>
        <w:t xml:space="preserve">Rel-16 SA2 </w:t>
      </w:r>
      <w:r>
        <w:rPr>
          <w:kern w:val="2"/>
          <w:lang w:eastAsia="zh-CN"/>
        </w:rPr>
        <w:t xml:space="preserve">specification does not </w:t>
      </w:r>
      <w:r w:rsidR="009D07CF">
        <w:rPr>
          <w:kern w:val="2"/>
          <w:lang w:eastAsia="zh-CN"/>
        </w:rPr>
        <w:t xml:space="preserve">restrict </w:t>
      </w:r>
      <w:r>
        <w:rPr>
          <w:kern w:val="2"/>
          <w:lang w:eastAsia="zh-CN"/>
        </w:rPr>
        <w:t>whether the carrier frequency(ies)/frequency band(s) must be I</w:t>
      </w:r>
      <w:r w:rsidR="009D07CF">
        <w:rPr>
          <w:kern w:val="2"/>
          <w:lang w:eastAsia="zh-CN"/>
        </w:rPr>
        <w:t>TS carrier</w:t>
      </w:r>
      <w:r w:rsidR="00822E07">
        <w:rPr>
          <w:kern w:val="2"/>
          <w:lang w:eastAsia="zh-CN"/>
        </w:rPr>
        <w:t>(s)</w:t>
      </w:r>
      <w:r w:rsidR="009D07CF">
        <w:rPr>
          <w:kern w:val="2"/>
          <w:lang w:eastAsia="zh-CN"/>
        </w:rPr>
        <w:t>/band</w:t>
      </w:r>
      <w:r w:rsidR="00822E07">
        <w:rPr>
          <w:kern w:val="2"/>
          <w:lang w:eastAsia="zh-CN"/>
        </w:rPr>
        <w:t>(s)</w:t>
      </w:r>
      <w:r w:rsidR="009D07CF">
        <w:rPr>
          <w:kern w:val="2"/>
          <w:lang w:eastAsia="zh-CN"/>
        </w:rPr>
        <w:t xml:space="preserve"> or not, and is thus</w:t>
      </w:r>
      <w:r>
        <w:rPr>
          <w:kern w:val="2"/>
          <w:lang w:eastAsia="zh-CN"/>
        </w:rPr>
        <w:t xml:space="preserve"> applied to any carrier frequency(ies)/frequency band(s) allowed by regional laws and regulations for a geographical area</w:t>
      </w:r>
      <w:r w:rsidR="009B5D1F">
        <w:rPr>
          <w:kern w:val="2"/>
          <w:lang w:eastAsia="zh-CN"/>
        </w:rPr>
        <w:t xml:space="preserve"> </w:t>
      </w:r>
    </w:p>
    <w:p w14:paraId="79B34ACB" w14:textId="2DFB8947" w:rsidR="008601CD" w:rsidRPr="00192FB1" w:rsidRDefault="008601CD" w:rsidP="00123C8E">
      <w:pPr>
        <w:jc w:val="both"/>
        <w:rPr>
          <w:b/>
          <w:kern w:val="2"/>
          <w:lang w:eastAsia="zh-CN"/>
        </w:rPr>
      </w:pPr>
      <w:r w:rsidRPr="00192FB1">
        <w:rPr>
          <w:b/>
          <w:kern w:val="2"/>
          <w:lang w:eastAsia="zh-CN"/>
        </w:rPr>
        <w:t xml:space="preserve">Observation: As per Rel-16 SA2 Spec, TS 23.287, it is already supported that </w:t>
      </w:r>
      <w:r w:rsidR="00823932">
        <w:rPr>
          <w:b/>
          <w:kern w:val="2"/>
          <w:lang w:eastAsia="zh-CN"/>
        </w:rPr>
        <w:t xml:space="preserve">a </w:t>
      </w:r>
      <w:r w:rsidRPr="00192FB1">
        <w:rPr>
          <w:b/>
          <w:kern w:val="2"/>
          <w:lang w:eastAsia="zh-CN"/>
        </w:rPr>
        <w:t>UE is pre</w:t>
      </w:r>
      <w:r w:rsidR="00A87511">
        <w:rPr>
          <w:b/>
          <w:kern w:val="2"/>
          <w:lang w:eastAsia="zh-CN"/>
        </w:rPr>
        <w:t>-</w:t>
      </w:r>
      <w:r w:rsidRPr="00192FB1">
        <w:rPr>
          <w:b/>
          <w:kern w:val="2"/>
          <w:lang w:eastAsia="zh-CN"/>
        </w:rPr>
        <w:t>configured with carrier frequency(ies)/</w:t>
      </w:r>
      <w:r w:rsidR="009D5622" w:rsidRPr="00192FB1">
        <w:rPr>
          <w:b/>
          <w:kern w:val="2"/>
          <w:lang w:eastAsia="zh-CN"/>
        </w:rPr>
        <w:t>frequency band(s)</w:t>
      </w:r>
      <w:r w:rsidR="00822E07">
        <w:rPr>
          <w:b/>
          <w:kern w:val="2"/>
          <w:lang w:eastAsia="zh-CN"/>
        </w:rPr>
        <w:t>,</w:t>
      </w:r>
      <w:r w:rsidR="009D5622" w:rsidRPr="00192FB1">
        <w:rPr>
          <w:b/>
          <w:kern w:val="2"/>
          <w:lang w:eastAsia="zh-CN"/>
        </w:rPr>
        <w:t xml:space="preserve"> </w:t>
      </w:r>
      <w:r w:rsidR="00822E07">
        <w:rPr>
          <w:b/>
          <w:kern w:val="2"/>
          <w:lang w:eastAsia="zh-CN"/>
        </w:rPr>
        <w:t xml:space="preserve">where a UE is allowed to perform </w:t>
      </w:r>
      <w:r w:rsidR="00A87511">
        <w:rPr>
          <w:b/>
          <w:kern w:val="2"/>
          <w:lang w:eastAsia="zh-CN"/>
        </w:rPr>
        <w:t xml:space="preserve">NR SL communication </w:t>
      </w:r>
      <w:r w:rsidR="009D5622" w:rsidRPr="00192FB1">
        <w:rPr>
          <w:b/>
          <w:kern w:val="2"/>
          <w:lang w:eastAsia="zh-CN"/>
        </w:rPr>
        <w:t>in a specific geographical area</w:t>
      </w:r>
      <w:r w:rsidR="009D5622">
        <w:rPr>
          <w:b/>
          <w:kern w:val="2"/>
          <w:lang w:eastAsia="zh-CN"/>
        </w:rPr>
        <w:t>(s)</w:t>
      </w:r>
      <w:r w:rsidR="009D5622" w:rsidRPr="00192FB1">
        <w:rPr>
          <w:b/>
          <w:kern w:val="2"/>
          <w:lang w:eastAsia="zh-CN"/>
        </w:rPr>
        <w:t xml:space="preserve">, </w:t>
      </w:r>
      <w:r w:rsidR="009D5622">
        <w:rPr>
          <w:b/>
          <w:kern w:val="2"/>
          <w:lang w:eastAsia="zh-CN"/>
        </w:rPr>
        <w:t xml:space="preserve">in case the </w:t>
      </w:r>
      <w:r w:rsidR="009D5622" w:rsidRPr="00FA6F85">
        <w:rPr>
          <w:b/>
          <w:kern w:val="2"/>
          <w:lang w:eastAsia="zh-CN"/>
        </w:rPr>
        <w:t>carrier frequency(ies)/frequency band(s)</w:t>
      </w:r>
      <w:r w:rsidR="00823932">
        <w:rPr>
          <w:b/>
          <w:kern w:val="2"/>
          <w:lang w:eastAsia="zh-CN"/>
        </w:rPr>
        <w:t xml:space="preserve"> are non-operator managed or</w:t>
      </w:r>
      <w:r w:rsidR="009D5622">
        <w:rPr>
          <w:b/>
          <w:kern w:val="2"/>
          <w:lang w:eastAsia="zh-CN"/>
        </w:rPr>
        <w:t xml:space="preserve"> the UE is </w:t>
      </w:r>
      <w:r w:rsidR="009D5622" w:rsidRPr="00192FB1">
        <w:rPr>
          <w:b/>
          <w:kern w:val="2"/>
          <w:lang w:eastAsia="zh-CN"/>
        </w:rPr>
        <w:t>not serv</w:t>
      </w:r>
      <w:r w:rsidR="00823932">
        <w:rPr>
          <w:b/>
          <w:kern w:val="2"/>
          <w:lang w:eastAsia="zh-CN"/>
        </w:rPr>
        <w:t>ed</w:t>
      </w:r>
      <w:r w:rsidR="009D5622" w:rsidRPr="00192FB1">
        <w:rPr>
          <w:b/>
          <w:kern w:val="2"/>
          <w:lang w:eastAsia="zh-CN"/>
        </w:rPr>
        <w:t xml:space="preserve"> by NR or E-UTRA</w:t>
      </w:r>
      <w:r w:rsidR="009D5622">
        <w:rPr>
          <w:b/>
          <w:kern w:val="2"/>
          <w:lang w:eastAsia="zh-CN"/>
        </w:rPr>
        <w:t xml:space="preserve"> (e.g. no NW coverage). This Rel-16 mechanism is not limited to ITS carrier(s)/band(s).</w:t>
      </w:r>
    </w:p>
    <w:p w14:paraId="31B37D7E" w14:textId="2190DC5D" w:rsidR="00A6038C" w:rsidRPr="005F3FDB" w:rsidRDefault="00826F3F" w:rsidP="00CE480D">
      <w:pPr>
        <w:jc w:val="both"/>
        <w:rPr>
          <w:lang w:eastAsia="zh-CN"/>
        </w:rPr>
      </w:pPr>
      <w:r w:rsidRPr="005F3FDB">
        <w:rPr>
          <w:lang w:eastAsia="zh-CN"/>
        </w:rPr>
        <w:t xml:space="preserve">Based on the above </w:t>
      </w:r>
      <w:r w:rsidR="00823932" w:rsidRPr="005F3FDB">
        <w:rPr>
          <w:lang w:eastAsia="zh-CN"/>
        </w:rPr>
        <w:t>analyses</w:t>
      </w:r>
      <w:r w:rsidR="00FC1202" w:rsidRPr="005F3FDB">
        <w:rPr>
          <w:lang w:eastAsia="zh-CN"/>
        </w:rPr>
        <w:t>,</w:t>
      </w:r>
      <w:r w:rsidR="0091095E" w:rsidRPr="005F3FDB">
        <w:rPr>
          <w:lang w:eastAsia="zh-CN"/>
        </w:rPr>
        <w:t xml:space="preserve"> it can be </w:t>
      </w:r>
      <w:r w:rsidR="009D5622" w:rsidRPr="005F3FDB">
        <w:rPr>
          <w:lang w:eastAsia="zh-CN"/>
        </w:rPr>
        <w:t xml:space="preserve">found </w:t>
      </w:r>
      <w:r w:rsidR="0091095E" w:rsidRPr="005F3FDB">
        <w:rPr>
          <w:lang w:eastAsia="zh-CN"/>
        </w:rPr>
        <w:t xml:space="preserve">that </w:t>
      </w:r>
      <w:r w:rsidR="009D5622" w:rsidRPr="005F3FDB">
        <w:rPr>
          <w:lang w:eastAsia="zh-CN"/>
        </w:rPr>
        <w:t xml:space="preserve">the objective 5 in Rel-17 SL enhancement </w:t>
      </w:r>
      <w:r w:rsidR="00F7594E" w:rsidRPr="005F3FDB">
        <w:rPr>
          <w:rFonts w:hint="eastAsia"/>
          <w:lang w:val="en-US" w:eastAsia="zh-CN"/>
        </w:rPr>
        <w:t>WI</w:t>
      </w:r>
      <w:r w:rsidR="00F7594E" w:rsidRPr="005F3FDB">
        <w:rPr>
          <w:lang w:val="en-US" w:eastAsia="zh-CN"/>
        </w:rPr>
        <w:t xml:space="preserve"> has</w:t>
      </w:r>
      <w:r w:rsidRPr="005F3FDB">
        <w:rPr>
          <w:lang w:val="en-US" w:eastAsia="zh-CN"/>
        </w:rPr>
        <w:t xml:space="preserve"> </w:t>
      </w:r>
      <w:r w:rsidR="00823932">
        <w:rPr>
          <w:lang w:val="en-US" w:eastAsia="zh-CN"/>
        </w:rPr>
        <w:t xml:space="preserve">already </w:t>
      </w:r>
      <w:r w:rsidRPr="005F3FDB">
        <w:rPr>
          <w:lang w:val="en-US" w:eastAsia="zh-CN"/>
        </w:rPr>
        <w:t xml:space="preserve">been </w:t>
      </w:r>
      <w:r w:rsidR="009D5622" w:rsidRPr="005F3FDB">
        <w:rPr>
          <w:lang w:val="en-US" w:eastAsia="zh-CN"/>
        </w:rPr>
        <w:t xml:space="preserve">supported </w:t>
      </w:r>
      <w:r w:rsidRPr="005F3FDB">
        <w:rPr>
          <w:lang w:val="en-US" w:eastAsia="zh-CN"/>
        </w:rPr>
        <w:t>in R</w:t>
      </w:r>
      <w:r w:rsidR="00823932">
        <w:rPr>
          <w:lang w:val="en-US" w:eastAsia="zh-CN"/>
        </w:rPr>
        <w:t>el-</w:t>
      </w:r>
      <w:r w:rsidRPr="005F3FDB">
        <w:rPr>
          <w:lang w:val="en-US" w:eastAsia="zh-CN"/>
        </w:rPr>
        <w:t xml:space="preserve">16 </w:t>
      </w:r>
      <w:r w:rsidR="00192FB1" w:rsidRPr="005F3FDB">
        <w:rPr>
          <w:lang w:val="en-US" w:eastAsia="zh-CN"/>
        </w:rPr>
        <w:t>N</w:t>
      </w:r>
      <w:r w:rsidR="009D5622" w:rsidRPr="005F3FDB">
        <w:rPr>
          <w:lang w:val="en-US" w:eastAsia="zh-CN"/>
        </w:rPr>
        <w:t>R</w:t>
      </w:r>
      <w:r w:rsidR="00192FB1" w:rsidRPr="005F3FDB">
        <w:rPr>
          <w:lang w:val="en-US" w:eastAsia="zh-CN"/>
        </w:rPr>
        <w:t xml:space="preserve"> SL communication by SA2</w:t>
      </w:r>
      <w:r w:rsidR="00822E07">
        <w:rPr>
          <w:lang w:val="en-US" w:eastAsia="zh-CN"/>
        </w:rPr>
        <w:t xml:space="preserve"> Spec</w:t>
      </w:r>
      <w:r w:rsidR="00192FB1" w:rsidRPr="005F3FDB">
        <w:rPr>
          <w:lang w:val="en-US" w:eastAsia="zh-CN"/>
        </w:rPr>
        <w:t>, TS 23.287</w:t>
      </w:r>
      <w:r w:rsidR="00822E07">
        <w:rPr>
          <w:lang w:val="en-US" w:eastAsia="zh-CN"/>
        </w:rPr>
        <w:t>. Hence,</w:t>
      </w:r>
      <w:r w:rsidRPr="005F3FDB">
        <w:rPr>
          <w:lang w:val="en-US" w:eastAsia="zh-CN"/>
        </w:rPr>
        <w:t xml:space="preserve"> </w:t>
      </w:r>
      <w:r w:rsidR="00192FB1" w:rsidRPr="005F3FDB">
        <w:rPr>
          <w:lang w:val="en-US" w:eastAsia="zh-CN"/>
        </w:rPr>
        <w:t xml:space="preserve">RAN2 is suggested to conclude that </w:t>
      </w:r>
      <w:r w:rsidRPr="005F3FDB">
        <w:rPr>
          <w:lang w:val="en-US" w:eastAsia="zh-CN"/>
        </w:rPr>
        <w:t>no extra work</w:t>
      </w:r>
      <w:r w:rsidR="00F7594E" w:rsidRPr="005F3FDB">
        <w:rPr>
          <w:lang w:val="en-US" w:eastAsia="zh-CN"/>
        </w:rPr>
        <w:t xml:space="preserve"> </w:t>
      </w:r>
      <w:r w:rsidRPr="005F3FDB">
        <w:rPr>
          <w:lang w:val="en-US" w:eastAsia="zh-CN"/>
        </w:rPr>
        <w:t xml:space="preserve">needs to be done </w:t>
      </w:r>
      <w:r w:rsidR="00192FB1" w:rsidRPr="005F3FDB">
        <w:rPr>
          <w:lang w:val="en-US" w:eastAsia="zh-CN"/>
        </w:rPr>
        <w:t>towards this objective</w:t>
      </w:r>
      <w:r w:rsidR="00561343" w:rsidRPr="005F3FDB">
        <w:rPr>
          <w:rFonts w:hint="eastAsia"/>
          <w:lang w:eastAsia="zh-CN"/>
        </w:rPr>
        <w:t>.</w:t>
      </w:r>
    </w:p>
    <w:p w14:paraId="6BD1E5F9" w14:textId="37010215" w:rsidR="00C647EE" w:rsidRDefault="00473372" w:rsidP="00FE209A">
      <w:pPr>
        <w:spacing w:afterLines="50" w:after="120"/>
        <w:jc w:val="both"/>
        <w:rPr>
          <w:lang w:eastAsia="zh-CN"/>
        </w:rPr>
      </w:pPr>
      <w:r>
        <w:rPr>
          <w:b/>
          <w:lang w:eastAsia="zh-CN"/>
        </w:rPr>
        <w:t>Proposal 1</w:t>
      </w:r>
      <w:r w:rsidR="00736958" w:rsidRPr="00736958">
        <w:rPr>
          <w:b/>
          <w:lang w:eastAsia="zh-CN"/>
        </w:rPr>
        <w:t xml:space="preserve">: </w:t>
      </w:r>
      <w:r w:rsidR="00192FB1">
        <w:rPr>
          <w:b/>
          <w:lang w:eastAsia="zh-CN"/>
        </w:rPr>
        <w:t xml:space="preserve">The Objective 5 in Rel-17 SL enhancement </w:t>
      </w:r>
      <w:r w:rsidR="00E4164F">
        <w:rPr>
          <w:b/>
          <w:lang w:eastAsia="zh-CN"/>
        </w:rPr>
        <w:t>WI</w:t>
      </w:r>
      <w:r w:rsidR="00823932">
        <w:rPr>
          <w:b/>
          <w:lang w:eastAsia="zh-CN"/>
        </w:rPr>
        <w:t xml:space="preserve"> can already be</w:t>
      </w:r>
      <w:r w:rsidR="00192FB1">
        <w:rPr>
          <w:b/>
          <w:lang w:eastAsia="zh-CN"/>
        </w:rPr>
        <w:t xml:space="preserve"> supported by Rel-16 SA2 spec, TS 23.287. RAN2 to confirm that</w:t>
      </w:r>
      <w:r w:rsidR="00E4164F">
        <w:rPr>
          <w:b/>
          <w:lang w:eastAsia="zh-CN"/>
        </w:rPr>
        <w:t xml:space="preserve"> </w:t>
      </w:r>
      <w:r w:rsidR="00F65B8C" w:rsidRPr="00F65B8C">
        <w:rPr>
          <w:b/>
          <w:lang w:eastAsia="zh-CN"/>
        </w:rPr>
        <w:t>no extra</w:t>
      </w:r>
      <w:r w:rsidR="00822E07">
        <w:rPr>
          <w:b/>
          <w:lang w:eastAsia="zh-CN"/>
        </w:rPr>
        <w:t xml:space="preserve"> standard</w:t>
      </w:r>
      <w:r w:rsidR="00192FB1">
        <w:rPr>
          <w:b/>
          <w:lang w:eastAsia="zh-CN"/>
        </w:rPr>
        <w:t xml:space="preserve"> efforts </w:t>
      </w:r>
      <w:r w:rsidR="00F65B8C" w:rsidRPr="00F65B8C">
        <w:rPr>
          <w:b/>
          <w:lang w:eastAsia="zh-CN"/>
        </w:rPr>
        <w:t xml:space="preserve">need to be done in </w:t>
      </w:r>
      <w:r w:rsidR="00192FB1">
        <w:rPr>
          <w:b/>
          <w:lang w:eastAsia="zh-CN"/>
        </w:rPr>
        <w:t>RAN WGs</w:t>
      </w:r>
      <w:bookmarkStart w:id="2" w:name="OLE_LINK1"/>
      <w:bookmarkStart w:id="3" w:name="OLE_LINK2"/>
      <w:r w:rsidR="00192FB1">
        <w:rPr>
          <w:b/>
          <w:lang w:eastAsia="zh-CN"/>
        </w:rPr>
        <w:t xml:space="preserve"> towards this objective</w:t>
      </w:r>
      <w:r w:rsidR="00806497" w:rsidRPr="00806497">
        <w:rPr>
          <w:lang w:eastAsia="zh-CN"/>
        </w:rPr>
        <w:t>.</w:t>
      </w:r>
    </w:p>
    <w:p w14:paraId="1CE3D60B" w14:textId="6A5AB107" w:rsidR="00C647EE" w:rsidRDefault="00C647EE">
      <w:pPr>
        <w:spacing w:after="0"/>
        <w:rPr>
          <w:lang w:eastAsia="zh-CN"/>
        </w:rPr>
      </w:pPr>
      <w:r>
        <w:rPr>
          <w:lang w:eastAsia="zh-CN"/>
        </w:rPr>
        <w:br w:type="page"/>
      </w:r>
    </w:p>
    <w:p w14:paraId="270CDB28" w14:textId="3FCFAB1A" w:rsidR="00806497" w:rsidRDefault="00C647EE" w:rsidP="00C647EE">
      <w:pPr>
        <w:spacing w:afterLines="50" w:after="120"/>
        <w:jc w:val="center"/>
        <w:rPr>
          <w:b/>
          <w:lang w:eastAsia="zh-CN"/>
        </w:rPr>
      </w:pPr>
      <w:r w:rsidRPr="00C647EE">
        <w:rPr>
          <w:b/>
          <w:lang w:eastAsia="zh-CN"/>
        </w:rPr>
        <w:lastRenderedPageBreak/>
        <w:t>Table 1 Citation from TS 23.287 [2]</w:t>
      </w:r>
    </w:p>
    <w:tbl>
      <w:tblPr>
        <w:tblStyle w:val="af2"/>
        <w:tblpPr w:leftFromText="180" w:rightFromText="180" w:vertAnchor="text" w:horzAnchor="margin" w:tblpY="160"/>
        <w:tblW w:w="0" w:type="auto"/>
        <w:tblLook w:val="04A0" w:firstRow="1" w:lastRow="0" w:firstColumn="1" w:lastColumn="0" w:noHBand="0" w:noVBand="1"/>
      </w:tblPr>
      <w:tblGrid>
        <w:gridCol w:w="9629"/>
      </w:tblGrid>
      <w:tr w:rsidR="00C647EE" w14:paraId="2484900D" w14:textId="77777777" w:rsidTr="00C647EE">
        <w:tc>
          <w:tcPr>
            <w:tcW w:w="9629" w:type="dxa"/>
          </w:tcPr>
          <w:p w14:paraId="1BC762C8" w14:textId="3407F96B" w:rsidR="00C647EE" w:rsidRPr="001B23DA" w:rsidRDefault="00C647EE" w:rsidP="00C647EE">
            <w:pPr>
              <w:keepNext/>
              <w:keepLines/>
              <w:spacing w:before="120"/>
              <w:ind w:leftChars="15" w:left="878" w:hangingChars="303" w:hanging="848"/>
              <w:outlineLvl w:val="2"/>
              <w:rPr>
                <w:rFonts w:ascii="Arial" w:hAnsi="Arial"/>
                <w:sz w:val="28"/>
                <w:lang w:eastAsia="zh-CN"/>
              </w:rPr>
            </w:pPr>
            <w:r w:rsidRPr="001B23DA">
              <w:rPr>
                <w:rFonts w:ascii="Arial" w:hAnsi="Arial"/>
                <w:sz w:val="28"/>
                <w:lang w:eastAsia="zh-CN"/>
              </w:rPr>
              <w:t>5.1.2</w:t>
            </w:r>
            <w:r w:rsidRPr="001B23DA">
              <w:rPr>
                <w:rFonts w:ascii="Arial" w:hAnsi="Arial"/>
                <w:sz w:val="28"/>
                <w:lang w:eastAsia="zh-CN"/>
              </w:rPr>
              <w:tab/>
              <w:t>Authorization and Provisioning for V2X communications</w:t>
            </w:r>
            <w:r w:rsidRPr="001B23DA">
              <w:rPr>
                <w:rFonts w:ascii="Arial" w:eastAsia="等线" w:hAnsi="Arial"/>
                <w:sz w:val="28"/>
              </w:rPr>
              <w:t xml:space="preserve"> </w:t>
            </w:r>
            <w:bookmarkStart w:id="4" w:name="_Toc19199064"/>
            <w:bookmarkStart w:id="5" w:name="_Toc27821854"/>
            <w:bookmarkStart w:id="6" w:name="_Toc36126208"/>
            <w:bookmarkStart w:id="7" w:name="_Toc45012532"/>
            <w:bookmarkStart w:id="8" w:name="_Toc51753958"/>
            <w:bookmarkStart w:id="9" w:name="_Toc51754092"/>
            <w:bookmarkStart w:id="10" w:name="_Toc51838919"/>
            <w:r w:rsidRPr="001B23DA">
              <w:rPr>
                <w:rFonts w:ascii="Arial" w:hAnsi="Arial"/>
                <w:sz w:val="28"/>
                <w:lang w:eastAsia="zh-CN"/>
              </w:rPr>
              <w:t>over PC5 reference point</w:t>
            </w:r>
            <w:bookmarkEnd w:id="4"/>
            <w:bookmarkEnd w:id="5"/>
            <w:bookmarkEnd w:id="6"/>
            <w:bookmarkEnd w:id="7"/>
            <w:bookmarkEnd w:id="8"/>
            <w:bookmarkEnd w:id="9"/>
            <w:bookmarkEnd w:id="10"/>
          </w:p>
          <w:p w14:paraId="4B2542D6" w14:textId="3407F96B" w:rsidR="00C647EE" w:rsidRPr="001B23DA" w:rsidRDefault="00C647EE" w:rsidP="00C647EE">
            <w:pPr>
              <w:keepNext/>
              <w:keepLines/>
              <w:spacing w:before="120"/>
              <w:ind w:leftChars="15" w:left="880" w:hangingChars="354" w:hanging="850"/>
              <w:outlineLvl w:val="3"/>
              <w:rPr>
                <w:rFonts w:ascii="Arial" w:eastAsia="等线" w:hAnsi="Arial"/>
                <w:sz w:val="24"/>
                <w:lang w:eastAsia="zh-CN"/>
              </w:rPr>
            </w:pPr>
            <w:bookmarkStart w:id="11" w:name="_Toc19199065"/>
            <w:bookmarkStart w:id="12" w:name="_Toc27821855"/>
            <w:bookmarkStart w:id="13" w:name="_Toc36126209"/>
            <w:bookmarkStart w:id="14" w:name="_Toc45012533"/>
            <w:bookmarkStart w:id="15" w:name="_Toc51753959"/>
            <w:bookmarkStart w:id="16" w:name="_Toc51754093"/>
            <w:bookmarkStart w:id="17" w:name="_Toc51838920"/>
            <w:r w:rsidRPr="001B23DA">
              <w:rPr>
                <w:rFonts w:ascii="Arial" w:eastAsia="等线" w:hAnsi="Arial"/>
                <w:sz w:val="24"/>
                <w:lang w:eastAsia="zh-CN"/>
              </w:rPr>
              <w:t>5.1.2.1</w:t>
            </w:r>
            <w:r w:rsidRPr="001B23DA">
              <w:rPr>
                <w:rFonts w:ascii="Arial" w:eastAsia="等线" w:hAnsi="Arial"/>
                <w:sz w:val="24"/>
                <w:lang w:eastAsia="zh-CN"/>
              </w:rPr>
              <w:tab/>
              <w:t>Policy/Parameter provisioning</w:t>
            </w:r>
            <w:bookmarkEnd w:id="11"/>
            <w:bookmarkEnd w:id="12"/>
            <w:bookmarkEnd w:id="13"/>
            <w:bookmarkEnd w:id="14"/>
            <w:bookmarkEnd w:id="15"/>
            <w:bookmarkEnd w:id="16"/>
            <w:bookmarkEnd w:id="17"/>
          </w:p>
          <w:p w14:paraId="6F81DDB6" w14:textId="77777777" w:rsidR="00C647EE" w:rsidRPr="001B23DA" w:rsidRDefault="00C647EE" w:rsidP="00C647EE">
            <w:pPr>
              <w:rPr>
                <w:rFonts w:eastAsia="等线"/>
                <w:lang w:eastAsia="x-none"/>
              </w:rPr>
            </w:pPr>
            <w:r w:rsidRPr="001B23DA">
              <w:rPr>
                <w:rFonts w:eastAsia="等线"/>
                <w:lang w:eastAsia="x-none"/>
              </w:rPr>
              <w:t xml:space="preserve">The following sets of </w:t>
            </w:r>
            <w:r w:rsidRPr="001B23DA">
              <w:rPr>
                <w:rFonts w:eastAsia="等线"/>
              </w:rPr>
              <w:t xml:space="preserve">information for </w:t>
            </w:r>
            <w:r w:rsidRPr="001B23DA">
              <w:rPr>
                <w:rFonts w:eastAsia="等线"/>
                <w:lang w:eastAsia="zh-CN"/>
              </w:rPr>
              <w:t>V2X</w:t>
            </w:r>
            <w:r w:rsidRPr="001B23DA">
              <w:rPr>
                <w:rFonts w:eastAsia="等线"/>
              </w:rPr>
              <w:t xml:space="preserve"> communications over PC5</w:t>
            </w:r>
            <w:r w:rsidRPr="001B23DA">
              <w:rPr>
                <w:rFonts w:eastAsia="等线"/>
                <w:lang w:eastAsia="ko-KR"/>
              </w:rPr>
              <w:t xml:space="preserve"> reference point is provisioned to the UE:</w:t>
            </w:r>
          </w:p>
          <w:p w14:paraId="64238461" w14:textId="77777777" w:rsidR="00C647EE" w:rsidRPr="001B23DA" w:rsidRDefault="00C647EE" w:rsidP="00C647EE">
            <w:pPr>
              <w:ind w:left="568" w:hanging="284"/>
              <w:rPr>
                <w:rFonts w:eastAsia="等线"/>
                <w:lang w:eastAsia="x-none"/>
              </w:rPr>
            </w:pPr>
            <w:r w:rsidRPr="001B23DA">
              <w:rPr>
                <w:rFonts w:eastAsia="等线"/>
              </w:rPr>
              <w:t>1)</w:t>
            </w:r>
            <w:r w:rsidRPr="001B23DA">
              <w:rPr>
                <w:rFonts w:eastAsia="等线"/>
              </w:rPr>
              <w:tab/>
              <w:t>Authorization policy:</w:t>
            </w:r>
          </w:p>
          <w:p w14:paraId="419A616B" w14:textId="77777777" w:rsidR="00C647EE" w:rsidRPr="001B23DA" w:rsidRDefault="00C647EE" w:rsidP="00C647EE">
            <w:pPr>
              <w:ind w:left="851" w:hanging="284"/>
              <w:rPr>
                <w:rFonts w:eastAsia="等线"/>
              </w:rPr>
            </w:pPr>
            <w:r w:rsidRPr="001B23DA">
              <w:rPr>
                <w:rFonts w:eastAsia="等线"/>
              </w:rPr>
              <w:t>-</w:t>
            </w:r>
            <w:r w:rsidRPr="001B23DA">
              <w:rPr>
                <w:rFonts w:eastAsia="等线"/>
              </w:rPr>
              <w:tab/>
              <w:t>When the UE is "served by E-UTRA" or "served by NR":</w:t>
            </w:r>
          </w:p>
          <w:p w14:paraId="5A981A17" w14:textId="77777777" w:rsidR="00C647EE" w:rsidRPr="001B23DA" w:rsidRDefault="00C647EE" w:rsidP="00C647EE">
            <w:pPr>
              <w:ind w:left="1135" w:hanging="284"/>
              <w:rPr>
                <w:rFonts w:eastAsia="等线"/>
              </w:rPr>
            </w:pPr>
            <w:r w:rsidRPr="001B23DA">
              <w:rPr>
                <w:rFonts w:eastAsia="等线"/>
              </w:rPr>
              <w:t>-</w:t>
            </w:r>
            <w:r w:rsidRPr="001B23DA">
              <w:rPr>
                <w:rFonts w:eastAsia="等线"/>
              </w:rPr>
              <w:tab/>
              <w:t>PLMNs in which the UE is authorized to perform V2X communications over PC5 reference point</w:t>
            </w:r>
            <w:r w:rsidRPr="001B23DA">
              <w:rPr>
                <w:rFonts w:eastAsia="等线"/>
                <w:lang w:eastAsia="ko-KR"/>
              </w:rPr>
              <w:t xml:space="preserve"> when "served by E-UTRA" or "served by NR"</w:t>
            </w:r>
            <w:r w:rsidRPr="001B23DA">
              <w:rPr>
                <w:rFonts w:eastAsia="等线"/>
              </w:rPr>
              <w:t>.</w:t>
            </w:r>
          </w:p>
          <w:p w14:paraId="182DC47E" w14:textId="77777777" w:rsidR="00C647EE" w:rsidRPr="001B23DA" w:rsidRDefault="00C647EE" w:rsidP="00C647EE">
            <w:pPr>
              <w:ind w:left="1135" w:hanging="284"/>
              <w:rPr>
                <w:rFonts w:eastAsia="等线"/>
              </w:rPr>
            </w:pPr>
            <w:r w:rsidRPr="001B23DA">
              <w:rPr>
                <w:rFonts w:eastAsia="等线"/>
              </w:rPr>
              <w:tab/>
              <w:t>For each above PLMN:</w:t>
            </w:r>
          </w:p>
          <w:p w14:paraId="2ED7CAF9" w14:textId="77777777" w:rsidR="00C647EE" w:rsidRPr="001B23DA" w:rsidRDefault="00C647EE" w:rsidP="00C647EE">
            <w:pPr>
              <w:ind w:left="1418" w:hanging="284"/>
              <w:rPr>
                <w:rFonts w:eastAsia="等线"/>
              </w:rPr>
            </w:pPr>
            <w:r w:rsidRPr="001B23DA">
              <w:rPr>
                <w:rFonts w:eastAsia="等线"/>
              </w:rPr>
              <w:t>-</w:t>
            </w:r>
            <w:r w:rsidRPr="001B23DA">
              <w:rPr>
                <w:rFonts w:eastAsia="等线"/>
              </w:rPr>
              <w:tab/>
              <w:t>RAT(s) over which the UE is authorized to perform V2X communications over PC5 reference point.</w:t>
            </w:r>
          </w:p>
          <w:p w14:paraId="27928AF3" w14:textId="77777777" w:rsidR="00C647EE" w:rsidRPr="001B23DA" w:rsidRDefault="00C647EE" w:rsidP="00C647EE">
            <w:pPr>
              <w:ind w:left="851" w:hanging="284"/>
              <w:rPr>
                <w:rFonts w:eastAsia="等线"/>
              </w:rPr>
            </w:pPr>
            <w:r w:rsidRPr="001B23DA">
              <w:rPr>
                <w:rFonts w:eastAsia="等线"/>
              </w:rPr>
              <w:t>-</w:t>
            </w:r>
            <w:r w:rsidRPr="001B23DA">
              <w:rPr>
                <w:rFonts w:eastAsia="等线"/>
              </w:rPr>
              <w:tab/>
              <w:t>When the UE is "not served by E-UTRA" and "not served by NR":</w:t>
            </w:r>
          </w:p>
          <w:p w14:paraId="3BE9539C" w14:textId="77777777" w:rsidR="00C647EE" w:rsidRPr="001B23DA" w:rsidRDefault="00C647EE" w:rsidP="00C647EE">
            <w:pPr>
              <w:ind w:left="1135" w:hanging="284"/>
              <w:rPr>
                <w:rFonts w:eastAsia="等线"/>
              </w:rPr>
            </w:pPr>
            <w:r w:rsidRPr="001B23DA">
              <w:rPr>
                <w:rFonts w:eastAsia="等线"/>
              </w:rPr>
              <w:t>-</w:t>
            </w:r>
            <w:r w:rsidRPr="001B23DA">
              <w:rPr>
                <w:rFonts w:eastAsia="等线"/>
              </w:rPr>
              <w:tab/>
              <w:t xml:space="preserve">Indicates whether the UE is authorized to perform V2X communications over PC5 reference point when </w:t>
            </w:r>
            <w:r w:rsidRPr="001B23DA">
              <w:rPr>
                <w:rFonts w:eastAsia="等线"/>
                <w:lang w:eastAsia="ko-KR"/>
              </w:rPr>
              <w:t>"</w:t>
            </w:r>
            <w:r w:rsidRPr="001B23DA">
              <w:rPr>
                <w:rFonts w:eastAsia="等线"/>
              </w:rPr>
              <w:t>not served by E-UTRA</w:t>
            </w:r>
            <w:r w:rsidRPr="001B23DA">
              <w:rPr>
                <w:rFonts w:eastAsia="等线"/>
                <w:lang w:eastAsia="ko-KR"/>
              </w:rPr>
              <w:t>"</w:t>
            </w:r>
            <w:r w:rsidRPr="001B23DA">
              <w:rPr>
                <w:rFonts w:eastAsia="等线"/>
              </w:rPr>
              <w:t xml:space="preserve"> and "not served by NR".</w:t>
            </w:r>
          </w:p>
          <w:p w14:paraId="01395E85" w14:textId="77777777" w:rsidR="00C647EE" w:rsidRPr="001B23DA" w:rsidRDefault="00C647EE" w:rsidP="00C647EE">
            <w:pPr>
              <w:ind w:left="1135" w:hanging="284"/>
              <w:rPr>
                <w:rFonts w:eastAsia="等线"/>
              </w:rPr>
            </w:pPr>
            <w:r w:rsidRPr="001B23DA">
              <w:rPr>
                <w:rFonts w:eastAsia="等线"/>
              </w:rPr>
              <w:t>-</w:t>
            </w:r>
            <w:r w:rsidRPr="001B23DA">
              <w:rPr>
                <w:rFonts w:eastAsia="等线"/>
              </w:rPr>
              <w:tab/>
              <w:t>RAT(s) over which the UE is authorized to perform V2X communications over PC5 reference point.</w:t>
            </w:r>
          </w:p>
          <w:p w14:paraId="10EBB570" w14:textId="77777777" w:rsidR="00C647EE" w:rsidRPr="001B23DA" w:rsidRDefault="00C647EE" w:rsidP="00C647EE">
            <w:pPr>
              <w:keepLines/>
              <w:ind w:left="1135" w:hanging="851"/>
              <w:rPr>
                <w:rFonts w:eastAsia="等线"/>
              </w:rPr>
            </w:pPr>
            <w:r w:rsidRPr="001B23DA">
              <w:rPr>
                <w:rFonts w:eastAsia="等线"/>
              </w:rPr>
              <w:t>NOTE 1:</w:t>
            </w:r>
            <w:r w:rsidRPr="001B23DA">
              <w:rPr>
                <w:rFonts w:eastAsia="等线"/>
              </w:rPr>
              <w:tab/>
              <w:t xml:space="preserve">In this specification, </w:t>
            </w:r>
            <w:r w:rsidRPr="001B23DA">
              <w:rPr>
                <w:rFonts w:eastAsia="等线"/>
                <w:i/>
                <w:iCs/>
              </w:rPr>
              <w:t>{When the UE is "served by E-UTRA" or "served by NR"}</w:t>
            </w:r>
            <w:r w:rsidRPr="001B23DA">
              <w:rPr>
                <w:rFonts w:eastAsia="等线"/>
              </w:rPr>
              <w:t xml:space="preserve"> and </w:t>
            </w:r>
            <w:r w:rsidRPr="001B23DA">
              <w:rPr>
                <w:rFonts w:eastAsia="等线"/>
                <w:i/>
                <w:iCs/>
              </w:rPr>
              <w:t>{When the UE is "not served by E-UTRA" and "not served by NR"}</w:t>
            </w:r>
            <w:r w:rsidRPr="001B23DA">
              <w:rPr>
                <w:rFonts w:eastAsia="等线"/>
              </w:rPr>
              <w:t xml:space="preserve"> are relevant to V2X communications over PC5 reference point.</w:t>
            </w:r>
          </w:p>
          <w:p w14:paraId="3D9C481B" w14:textId="77777777" w:rsidR="00C647EE" w:rsidRPr="00192FB1" w:rsidRDefault="00C647EE" w:rsidP="00C647EE">
            <w:pPr>
              <w:ind w:left="568" w:hanging="284"/>
              <w:rPr>
                <w:rFonts w:eastAsia="等线"/>
                <w:highlight w:val="yellow"/>
              </w:rPr>
            </w:pPr>
            <w:r w:rsidRPr="00192FB1">
              <w:rPr>
                <w:rFonts w:eastAsia="等线"/>
                <w:highlight w:val="yellow"/>
              </w:rPr>
              <w:t>2)</w:t>
            </w:r>
            <w:r w:rsidRPr="00192FB1">
              <w:rPr>
                <w:rFonts w:eastAsia="等线"/>
                <w:highlight w:val="yellow"/>
              </w:rPr>
              <w:tab/>
              <w:t xml:space="preserve">Radio parameters when the UE is </w:t>
            </w:r>
            <w:r w:rsidRPr="00192FB1">
              <w:rPr>
                <w:rFonts w:eastAsia="等线"/>
                <w:highlight w:val="yellow"/>
                <w:lang w:eastAsia="ko-KR"/>
              </w:rPr>
              <w:t>"</w:t>
            </w:r>
            <w:r w:rsidRPr="00192FB1">
              <w:rPr>
                <w:rFonts w:eastAsia="等线"/>
                <w:highlight w:val="yellow"/>
              </w:rPr>
              <w:t>not served by E-UTRA</w:t>
            </w:r>
            <w:r w:rsidRPr="00192FB1">
              <w:rPr>
                <w:rFonts w:eastAsia="等线"/>
                <w:highlight w:val="yellow"/>
                <w:lang w:eastAsia="ko-KR"/>
              </w:rPr>
              <w:t>"</w:t>
            </w:r>
            <w:r w:rsidRPr="00192FB1">
              <w:rPr>
                <w:rFonts w:eastAsia="等线"/>
                <w:highlight w:val="yellow"/>
              </w:rPr>
              <w:t xml:space="preserve"> and "not served by NR":</w:t>
            </w:r>
          </w:p>
          <w:p w14:paraId="2F86FE8D" w14:textId="77777777" w:rsidR="00C647EE" w:rsidRPr="001B23DA" w:rsidRDefault="00C647EE" w:rsidP="00C647EE">
            <w:pPr>
              <w:ind w:left="851" w:hanging="284"/>
              <w:rPr>
                <w:rFonts w:eastAsia="等线"/>
              </w:rPr>
            </w:pPr>
            <w:r w:rsidRPr="00192FB1">
              <w:rPr>
                <w:rFonts w:eastAsia="等线"/>
                <w:highlight w:val="yellow"/>
              </w:rPr>
              <w:t>-</w:t>
            </w:r>
            <w:r w:rsidRPr="00192FB1">
              <w:rPr>
                <w:rFonts w:eastAsia="等线"/>
                <w:highlight w:val="yellow"/>
              </w:rPr>
              <w:tab/>
              <w:t xml:space="preserve">Includes the radio parameters per PC5 RAT (i.e. LTE PC5, NR PC5) </w:t>
            </w:r>
            <w:r w:rsidRPr="00192FB1">
              <w:rPr>
                <w:rFonts w:eastAsia="等线"/>
                <w:b/>
                <w:highlight w:val="yellow"/>
              </w:rPr>
              <w:t>with Geographical Area(s)</w:t>
            </w:r>
            <w:r w:rsidRPr="00192FB1">
              <w:rPr>
                <w:rFonts w:eastAsia="等线"/>
                <w:highlight w:val="yellow"/>
              </w:rPr>
              <w:t xml:space="preserve"> and an indication of whether they are "operator managed" or "non-operator managed". These radio parameters (e.g., frequency bands) are defined in TS 36.331 [14] and TS 38.331 [15]. The UE uses the radio parameters to perform V2X communications over PC5 reference point when "not served by E-UTRA" and "not served by NR" only if the UE can reliably locate itself in the corresponding Geographical Area. Otherwise, the UE is not authori</w:t>
            </w:r>
            <w:r w:rsidRPr="00192FB1">
              <w:rPr>
                <w:rFonts w:eastAsia="等线"/>
                <w:highlight w:val="yellow"/>
                <w:lang w:eastAsia="ko-KR"/>
              </w:rPr>
              <w:t>z</w:t>
            </w:r>
            <w:r w:rsidRPr="00192FB1">
              <w:rPr>
                <w:rFonts w:eastAsia="等线"/>
                <w:highlight w:val="yellow"/>
              </w:rPr>
              <w:t>ed to transmit.</w:t>
            </w:r>
          </w:p>
          <w:p w14:paraId="68E034FF" w14:textId="77777777" w:rsidR="00C647EE" w:rsidRPr="001B23DA" w:rsidRDefault="00C647EE" w:rsidP="00C647EE">
            <w:pPr>
              <w:keepLines/>
              <w:ind w:left="1135" w:hanging="851"/>
              <w:rPr>
                <w:rFonts w:eastAsia="等线"/>
              </w:rPr>
            </w:pPr>
            <w:r w:rsidRPr="001B23DA">
              <w:rPr>
                <w:rFonts w:eastAsia="等线"/>
              </w:rPr>
              <w:t>NOTE 2:</w:t>
            </w:r>
            <w:r w:rsidRPr="001B23DA">
              <w:rPr>
                <w:rFonts w:eastAsia="等线"/>
              </w:rPr>
              <w:tab/>
              <w:t>Whether a frequency band is "operator managed" or "non-operator managed" in a given Geographical Area is defined by local regulations.</w:t>
            </w:r>
          </w:p>
          <w:p w14:paraId="7C5E094D" w14:textId="77777777" w:rsidR="00C647EE" w:rsidRDefault="00C647EE" w:rsidP="00C647EE">
            <w:pPr>
              <w:ind w:left="568" w:hanging="284"/>
              <w:rPr>
                <w:rFonts w:eastAsia="等线"/>
              </w:rPr>
            </w:pPr>
            <w:r w:rsidRPr="001B23DA">
              <w:rPr>
                <w:rFonts w:eastAsia="等线"/>
              </w:rPr>
              <w:t>3)</w:t>
            </w:r>
            <w:r w:rsidRPr="001B23DA">
              <w:rPr>
                <w:rFonts w:eastAsia="等线"/>
              </w:rPr>
              <w:tab/>
              <w:t>Policy/parameters for PC5 RAT selection and for PC5 Tx Profile selection:</w:t>
            </w:r>
          </w:p>
          <w:p w14:paraId="3E97DA0A" w14:textId="77777777" w:rsidR="00C647EE" w:rsidRDefault="00C647EE" w:rsidP="00C647EE">
            <w:pPr>
              <w:rPr>
                <w:rFonts w:ascii="Arial" w:eastAsia="等线" w:hAnsi="Arial" w:cs="Arial"/>
                <w:color w:val="FF0000"/>
                <w:lang w:eastAsia="zh-CN"/>
              </w:rPr>
            </w:pPr>
            <w:r w:rsidRPr="00192FB1">
              <w:rPr>
                <w:rFonts w:ascii="Arial" w:eastAsia="等线" w:hAnsi="Arial" w:cs="Arial"/>
                <w:color w:val="FF0000"/>
                <w:lang w:eastAsia="zh-CN"/>
              </w:rPr>
              <w:t>[Unrelated Texts Removed]</w:t>
            </w:r>
          </w:p>
          <w:p w14:paraId="62949044" w14:textId="77777777" w:rsidR="00C647EE" w:rsidRDefault="00C647EE" w:rsidP="00C647EE">
            <w:pPr>
              <w:spacing w:afterLines="50" w:after="120"/>
            </w:pPr>
            <w:r>
              <w:t>The above parameter sets from bullet 2) to 6) may be configured in the UE through the V1 reference point by the V2X Application Server.</w:t>
            </w:r>
          </w:p>
          <w:p w14:paraId="786F6A59" w14:textId="77777777" w:rsidR="00C647EE" w:rsidRPr="00C647EE" w:rsidRDefault="00C647EE" w:rsidP="00C647EE">
            <w:pPr>
              <w:keepNext/>
              <w:keepLines/>
              <w:spacing w:before="120"/>
              <w:ind w:leftChars="15" w:left="880" w:hangingChars="354" w:hanging="850"/>
              <w:outlineLvl w:val="3"/>
              <w:rPr>
                <w:rFonts w:ascii="Arial" w:eastAsia="等线" w:hAnsi="Arial"/>
                <w:sz w:val="24"/>
                <w:lang w:eastAsia="zh-CN"/>
              </w:rPr>
            </w:pPr>
            <w:r w:rsidRPr="00192FB1">
              <w:rPr>
                <w:rFonts w:ascii="Arial" w:eastAsia="等线" w:hAnsi="Arial"/>
                <w:sz w:val="24"/>
                <w:lang w:eastAsia="zh-CN"/>
              </w:rPr>
              <w:t>5.1.2.2</w:t>
            </w:r>
            <w:r w:rsidRPr="00192FB1">
              <w:rPr>
                <w:rFonts w:ascii="Arial" w:eastAsia="等线" w:hAnsi="Arial"/>
                <w:sz w:val="24"/>
                <w:lang w:eastAsia="zh-CN"/>
              </w:rPr>
              <w:tab/>
              <w:t>Principles for applying parameters for V2X communications over PC5 reference point</w:t>
            </w:r>
            <w:r w:rsidRPr="00C647EE">
              <w:rPr>
                <w:rFonts w:ascii="Arial" w:eastAsia="等线" w:hAnsi="Arial"/>
                <w:sz w:val="24"/>
                <w:lang w:eastAsia="zh-CN"/>
              </w:rPr>
              <w:t xml:space="preserve"> </w:t>
            </w:r>
          </w:p>
          <w:p w14:paraId="654FDCE1" w14:textId="77777777" w:rsidR="00C647EE" w:rsidRPr="00FE3176" w:rsidRDefault="00C647EE" w:rsidP="00C647EE">
            <w:pPr>
              <w:rPr>
                <w:rFonts w:eastAsia="等线"/>
              </w:rPr>
            </w:pPr>
            <w:r w:rsidRPr="00FE3176">
              <w:rPr>
                <w:rFonts w:eastAsia="等线"/>
              </w:rPr>
              <w:t>For V2X communication over PC5</w:t>
            </w:r>
            <w:r w:rsidRPr="00FE3176">
              <w:rPr>
                <w:lang w:eastAsia="zh-CN"/>
              </w:rPr>
              <w:t xml:space="preserve"> reference point</w:t>
            </w:r>
            <w:r w:rsidRPr="00FE3176">
              <w:rPr>
                <w:rFonts w:eastAsia="等线"/>
              </w:rPr>
              <w:t>, the operator may pre-configure the UEs with the required provisioning parameters for V2X communication, without the need for the UEs to connect to the 5GC to get this initial configuration. The following apply:</w:t>
            </w:r>
          </w:p>
          <w:p w14:paraId="43D98A04" w14:textId="77777777" w:rsidR="00C647EE" w:rsidRPr="00FE3176" w:rsidRDefault="00C647EE" w:rsidP="00C647EE">
            <w:pPr>
              <w:ind w:left="568" w:hanging="284"/>
              <w:rPr>
                <w:rFonts w:eastAsia="等线"/>
              </w:rPr>
            </w:pPr>
            <w:r w:rsidRPr="00FE3176">
              <w:rPr>
                <w:rFonts w:eastAsia="等线"/>
              </w:rPr>
              <w:t>-</w:t>
            </w:r>
            <w:r w:rsidRPr="00FE3176">
              <w:rPr>
                <w:rFonts w:eastAsia="等线"/>
              </w:rPr>
              <w:tab/>
              <w:t xml:space="preserve">The provisioning parameters for V2X communications over PC5 </w:t>
            </w:r>
            <w:r w:rsidRPr="00FE3176">
              <w:rPr>
                <w:lang w:eastAsia="zh-CN"/>
              </w:rPr>
              <w:t>reference point</w:t>
            </w:r>
            <w:r w:rsidRPr="00FE3176">
              <w:rPr>
                <w:rFonts w:eastAsia="等线"/>
              </w:rPr>
              <w:t xml:space="preserve"> may be configured in the UICC, in the ME, or in both the UICC and the ME.</w:t>
            </w:r>
          </w:p>
          <w:p w14:paraId="0B9092F9" w14:textId="77777777" w:rsidR="00C647EE" w:rsidRDefault="00C647EE" w:rsidP="00C647EE">
            <w:pPr>
              <w:rPr>
                <w:rFonts w:ascii="Arial" w:eastAsia="等线" w:hAnsi="Arial" w:cs="Arial"/>
                <w:color w:val="FF0000"/>
                <w:lang w:eastAsia="zh-CN"/>
              </w:rPr>
            </w:pPr>
            <w:r w:rsidRPr="00FA6F85">
              <w:rPr>
                <w:rFonts w:ascii="Arial" w:eastAsia="等线" w:hAnsi="Arial" w:cs="Arial"/>
                <w:color w:val="FF0000"/>
                <w:lang w:eastAsia="zh-CN"/>
              </w:rPr>
              <w:t>[Unrelated Texts Removed]</w:t>
            </w:r>
          </w:p>
          <w:p w14:paraId="446313ED" w14:textId="77777777" w:rsidR="00C647EE" w:rsidRPr="00FE3176" w:rsidRDefault="00C647EE" w:rsidP="00C647EE">
            <w:pPr>
              <w:ind w:left="568" w:hanging="284"/>
              <w:rPr>
                <w:rFonts w:eastAsia="等线"/>
              </w:rPr>
            </w:pPr>
            <w:r w:rsidRPr="00FE3176">
              <w:rPr>
                <w:rFonts w:eastAsia="等线"/>
              </w:rPr>
              <w:t>-</w:t>
            </w:r>
            <w:r w:rsidRPr="00FE3176">
              <w:rPr>
                <w:rFonts w:eastAsia="等线"/>
              </w:rPr>
              <w:tab/>
              <w:t>The UE shall use radio resources for V2X communications over PC5 reference point as follows:</w:t>
            </w:r>
          </w:p>
          <w:p w14:paraId="28005127" w14:textId="77777777" w:rsidR="00C647EE" w:rsidRPr="00FE3176" w:rsidRDefault="00C647EE" w:rsidP="00C647EE">
            <w:pPr>
              <w:ind w:left="851" w:hanging="284"/>
              <w:rPr>
                <w:rFonts w:eastAsia="等线"/>
              </w:rPr>
            </w:pPr>
            <w:r w:rsidRPr="00FE3176">
              <w:rPr>
                <w:rFonts w:eastAsia="等线"/>
              </w:rPr>
              <w:lastRenderedPageBreak/>
              <w:t>-</w:t>
            </w:r>
            <w:r w:rsidRPr="00FE3176">
              <w:rPr>
                <w:rFonts w:eastAsia="等线"/>
              </w:rPr>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14:paraId="2F3607C8" w14:textId="77777777" w:rsidR="00C647EE" w:rsidRPr="00FE3176" w:rsidRDefault="00C647EE" w:rsidP="00C647EE">
            <w:pPr>
              <w:ind w:left="851" w:hanging="284"/>
              <w:rPr>
                <w:rFonts w:eastAsia="等线"/>
              </w:rPr>
            </w:pPr>
            <w:r w:rsidRPr="00FE3176">
              <w:rPr>
                <w:rFonts w:eastAsia="等线"/>
              </w:rPr>
              <w:t>-</w:t>
            </w:r>
            <w:r w:rsidRPr="00FE3176">
              <w:rPr>
                <w:rFonts w:eastAsia="等线"/>
              </w:rPr>
              <w:tab/>
              <w:t>If the UE intends to use "operator-managed" radio resources (i.e. carrier frequency) for V2X service that are not operated by the UE's serving cell, as specified in clause 5.1.2.1, or if the UE is out of coverage, the UE shall search for a cell in any PLMN that is operating the provisioned radio resources (i.e. carrier frequency) as defined in TS 36.300 [9] and TS 36.304 [10] (if LTE based PC5 is selected for the V2X communication) or as defined in TS 38.300 [11] and TS 38.304 [12] (if NR based PC5 is selected for the V2X communication), and:</w:t>
            </w:r>
          </w:p>
          <w:p w14:paraId="46D5497D" w14:textId="77777777" w:rsidR="00C647EE" w:rsidRPr="00FE3176" w:rsidRDefault="00C647EE" w:rsidP="00C647EE">
            <w:pPr>
              <w:ind w:left="1135" w:hanging="284"/>
              <w:rPr>
                <w:rFonts w:eastAsia="等线"/>
              </w:rPr>
            </w:pPr>
            <w:r w:rsidRPr="00FE3176">
              <w:rPr>
                <w:rFonts w:eastAsia="等线"/>
              </w:rPr>
              <w:t>-</w:t>
            </w:r>
            <w:r w:rsidRPr="00FE3176">
              <w:rPr>
                <w:rFonts w:eastAsia="等线"/>
              </w:rPr>
              <w:tab/>
              <w:t>If the UE finds such a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14:paraId="7F712556" w14:textId="77777777" w:rsidR="00C647EE" w:rsidRPr="00FE3176" w:rsidRDefault="00C647EE" w:rsidP="00C647EE">
            <w:pPr>
              <w:ind w:left="1135" w:hanging="284"/>
              <w:rPr>
                <w:rFonts w:eastAsia="等线"/>
              </w:rPr>
            </w:pPr>
            <w:r w:rsidRPr="00FE3176">
              <w:rPr>
                <w:rFonts w:eastAsia="等线"/>
              </w:rPr>
              <w:t>-</w:t>
            </w:r>
            <w:r w:rsidRPr="00FE3176">
              <w:rPr>
                <w:rFonts w:eastAsia="等线"/>
              </w:rPr>
              <w:tab/>
              <w:t>If the UE finds such a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TS 23.122 [13]. If the UE has an ongoing emergency session via IMS, it shall not trigger any PLMN selection due to V2X communication over PC5 reference point.</w:t>
            </w:r>
          </w:p>
          <w:p w14:paraId="32B247C8" w14:textId="77777777" w:rsidR="00C647EE" w:rsidRPr="00FE3176" w:rsidRDefault="00C647EE" w:rsidP="00C647EE">
            <w:pPr>
              <w:ind w:left="1135" w:hanging="284"/>
              <w:rPr>
                <w:rFonts w:eastAsia="等线"/>
              </w:rPr>
            </w:pPr>
            <w:r w:rsidRPr="00FE3176">
              <w:rPr>
                <w:rFonts w:eastAsia="等线"/>
              </w:rPr>
              <w:t>-</w:t>
            </w:r>
            <w:r w:rsidRPr="00FE3176">
              <w:rPr>
                <w:rFonts w:eastAsia="等线"/>
              </w:rPr>
              <w:tab/>
              <w:t>If the UE finds such cell but not in a PLMN authorized for V2X communications over PC5 reference point the UE shall not use V2X communications over PC5 reference point.</w:t>
            </w:r>
          </w:p>
          <w:p w14:paraId="7C78A117" w14:textId="77777777" w:rsidR="00C647EE" w:rsidRPr="00192FB1" w:rsidRDefault="00C647EE" w:rsidP="00C647EE">
            <w:pPr>
              <w:ind w:left="1135" w:hanging="284"/>
              <w:rPr>
                <w:rFonts w:eastAsia="等线"/>
                <w:highlight w:val="yellow"/>
              </w:rPr>
            </w:pPr>
            <w:r w:rsidRPr="00FE3176">
              <w:rPr>
                <w:rFonts w:eastAsia="等线"/>
              </w:rPr>
              <w:t>-</w:t>
            </w:r>
            <w:r w:rsidRPr="00FE3176">
              <w:rPr>
                <w:rFonts w:eastAsia="等线"/>
              </w:rPr>
              <w:tab/>
            </w:r>
            <w:r w:rsidRPr="00192FB1">
              <w:rPr>
                <w:rFonts w:eastAsia="等线"/>
                <w:highlight w:val="yellow"/>
              </w:rPr>
              <w:t>If the UE does not find any such cell in any PLMN, then the UE shall consider itself "not served by NR or E-UTRA" and use radio resources provisioned in the ME or the UICC. If no such provision exists in the ME or the UICC or the provision does not authorize V2X communications over PC5 reference point, then the UE is not authorized to transmit.</w:t>
            </w:r>
          </w:p>
          <w:p w14:paraId="3AC8DC9A" w14:textId="77777777" w:rsidR="00C647EE" w:rsidRPr="00FE3176" w:rsidRDefault="00C647EE" w:rsidP="00C647EE">
            <w:pPr>
              <w:ind w:left="851" w:hanging="284"/>
              <w:rPr>
                <w:rFonts w:eastAsia="等线"/>
              </w:rPr>
            </w:pPr>
            <w:r w:rsidRPr="00192FB1">
              <w:rPr>
                <w:rFonts w:eastAsia="等线"/>
                <w:highlight w:val="yellow"/>
              </w:rPr>
              <w:t>-</w:t>
            </w:r>
            <w:r w:rsidRPr="00192FB1">
              <w:rPr>
                <w:rFonts w:eastAsia="等线"/>
                <w:highlight w:val="yellow"/>
              </w:rPr>
              <w:tab/>
              <w:t>If the UE intends to use "non-operator-managed" radio resources (i.e. carrier frequency) for V2X service, according to TS 36.331 [14] or TS 38.331 [15] and as specified in clause 5.1.2.1, then the UE shall perform V2X communication over PC5 using resource provisioned in the ME or the UICC. If no such provision exists in the ME or the UICC or the provision does not authorize V2X communications over PC5 reference point, then the UE is not authorized to transmit.</w:t>
            </w:r>
          </w:p>
          <w:p w14:paraId="46C3D37E" w14:textId="77777777" w:rsidR="00C647EE" w:rsidRPr="00FE3176" w:rsidRDefault="00C647EE" w:rsidP="00C647EE">
            <w:pPr>
              <w:ind w:left="568" w:hanging="284"/>
              <w:rPr>
                <w:rFonts w:eastAsia="等线"/>
              </w:rPr>
            </w:pPr>
            <w:r w:rsidRPr="00FE3176">
              <w:rPr>
                <w:rFonts w:eastAsia="等线"/>
              </w:rPr>
              <w:t>-</w:t>
            </w:r>
            <w:r w:rsidRPr="00FE3176">
              <w:rPr>
                <w:rFonts w:eastAsia="等线"/>
              </w:rPr>
              <w:tab/>
              <w:t>The UE provisioning shall support setting Geographical Areas.</w:t>
            </w:r>
          </w:p>
          <w:p w14:paraId="6195508E" w14:textId="77777777" w:rsidR="00C647EE" w:rsidRPr="00FE3176" w:rsidRDefault="00C647EE" w:rsidP="00C647EE">
            <w:pPr>
              <w:keepLines/>
              <w:ind w:left="1135" w:hanging="851"/>
              <w:rPr>
                <w:rFonts w:eastAsia="等线"/>
              </w:rPr>
            </w:pPr>
            <w:r w:rsidRPr="00FE3176">
              <w:rPr>
                <w:rFonts w:eastAsia="等线"/>
              </w:rPr>
              <w:t>NOTE 1:</w:t>
            </w:r>
            <w:r w:rsidRPr="00FE3176">
              <w:rPr>
                <w:rFonts w:eastAsia="等线"/>
              </w:rPr>
              <w:tab/>
              <w:t>It is possible for a UE to use other radio resources for V2X service based on the Geographical Area instead of those operated by the serving NG-RAN cell, when provisioned in the UE, even if the UE's serving cell offers normal service and the SIBs for NR sidelink communication or V2X sidelink communication defined in TS 38.331 [15] indicates that the service (V2X communication) is available. This is to cover the scenario when e.g. the radio resources used for V2X communications over PC5 reference point are not owned by the serving network of the UE.</w:t>
            </w:r>
          </w:p>
          <w:p w14:paraId="384031E0" w14:textId="77777777" w:rsidR="00C647EE" w:rsidRPr="00FE3176" w:rsidRDefault="00C647EE" w:rsidP="00C647EE">
            <w:pPr>
              <w:keepLines/>
              <w:ind w:left="1135" w:hanging="851"/>
              <w:rPr>
                <w:rFonts w:eastAsia="等线"/>
              </w:rPr>
            </w:pPr>
            <w:r w:rsidRPr="00192FB1">
              <w:rPr>
                <w:rFonts w:eastAsia="等线"/>
                <w:highlight w:val="yellow"/>
              </w:rPr>
              <w:t>NOTE 2:</w:t>
            </w:r>
            <w:r w:rsidRPr="00192FB1">
              <w:rPr>
                <w:rFonts w:eastAsia="等线"/>
                <w:highlight w:val="yellow"/>
              </w:rPr>
              <w:tab/>
              <w:t>When cross-carrier operation is supported, according to TS 36.331 [14] or TS 38.331 [15], a UE can be instructed by its serving cell to perform V2X communication over a different carrier frequency. The UE is still considered as "served by NR or E-UTRA" in this case.</w:t>
            </w:r>
          </w:p>
          <w:p w14:paraId="11C6337F" w14:textId="77777777" w:rsidR="00C647EE" w:rsidRPr="00FE3176" w:rsidRDefault="00C647EE" w:rsidP="00C647EE">
            <w:pPr>
              <w:keepLines/>
              <w:ind w:left="1135" w:hanging="851"/>
              <w:rPr>
                <w:rFonts w:eastAsia="等线"/>
              </w:rPr>
            </w:pPr>
            <w:r w:rsidRPr="00FE3176">
              <w:rPr>
                <w:rFonts w:eastAsia="等线"/>
              </w:rPr>
              <w:t>NOTE 3:</w:t>
            </w:r>
            <w:r w:rsidRPr="00FE3176">
              <w:rPr>
                <w:rFonts w:eastAsia="等线"/>
              </w:rPr>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14:paraId="7BB24FCC" w14:textId="77777777" w:rsidR="00C647EE" w:rsidRPr="00FE3176" w:rsidRDefault="00C647EE" w:rsidP="00C647EE">
            <w:pPr>
              <w:ind w:left="568" w:hanging="284"/>
              <w:rPr>
                <w:rFonts w:eastAsia="等线"/>
              </w:rPr>
            </w:pPr>
            <w:r w:rsidRPr="00FE3176">
              <w:rPr>
                <w:rFonts w:eastAsia="等线"/>
              </w:rPr>
              <w:t>-</w:t>
            </w:r>
            <w:r w:rsidRPr="00FE3176">
              <w:rPr>
                <w:rFonts w:eastAsia="等线"/>
              </w:rPr>
              <w:tab/>
              <w:t>The V2X communications over PC5 reference point is only specified for E-UTRA and NR.</w:t>
            </w:r>
          </w:p>
          <w:p w14:paraId="02AC3BF3" w14:textId="77777777" w:rsidR="00C647EE" w:rsidRDefault="00C647EE" w:rsidP="00C647EE">
            <w:pPr>
              <w:spacing w:afterLines="50" w:after="120"/>
              <w:rPr>
                <w:b/>
                <w:lang w:eastAsia="zh-CN"/>
              </w:rPr>
            </w:pPr>
            <w:r w:rsidRPr="00FE3176">
              <w:rPr>
                <w:rFonts w:eastAsia="等线"/>
              </w:rPr>
              <w:t>NOTE 4:</w:t>
            </w:r>
            <w:r w:rsidRPr="00FE3176">
              <w:rPr>
                <w:rFonts w:eastAsia="等线"/>
              </w:rPr>
              <w:tab/>
              <w:t xml:space="preserve">It is out of scope of the present specification to define how the UE can locate itself in a specific Geographical Area. When the UE is in coverage of a 3GPP RAT, it can for example, use information derived from </w:t>
            </w:r>
            <w:r w:rsidRPr="00FE3176">
              <w:rPr>
                <w:rFonts w:eastAsia="等线"/>
              </w:rPr>
              <w:lastRenderedPageBreak/>
              <w:t>the serving PLMN. When the UE is not in coverage of a 3GPP RAT, it can use other techniques, e.g. Global Navigation Satellite System (GNSS). User provided location is not a valid input.</w:t>
            </w:r>
          </w:p>
        </w:tc>
      </w:tr>
    </w:tbl>
    <w:p w14:paraId="2165B54E" w14:textId="77777777" w:rsidR="00505E15" w:rsidRDefault="00505E15" w:rsidP="008821BD">
      <w:pPr>
        <w:pStyle w:val="1"/>
        <w:tabs>
          <w:tab w:val="clear" w:pos="567"/>
          <w:tab w:val="num" w:pos="709"/>
        </w:tabs>
        <w:spacing w:line="276" w:lineRule="auto"/>
        <w:ind w:left="709" w:hanging="709"/>
        <w:jc w:val="both"/>
        <w:rPr>
          <w:lang w:eastAsia="zh-CN"/>
        </w:rPr>
      </w:pPr>
      <w:r>
        <w:rPr>
          <w:rFonts w:hint="eastAsia"/>
          <w:lang w:eastAsia="zh-CN"/>
        </w:rPr>
        <w:lastRenderedPageBreak/>
        <w:t>Conclusion</w:t>
      </w:r>
    </w:p>
    <w:p w14:paraId="75C0E0F0" w14:textId="3D96D08C" w:rsidR="00644EEF" w:rsidRPr="002732A4" w:rsidRDefault="00610E8C" w:rsidP="00644EEF">
      <w:pPr>
        <w:rPr>
          <w:lang w:eastAsia="zh-CN"/>
        </w:rPr>
      </w:pPr>
      <w:r>
        <w:rPr>
          <w:lang w:eastAsia="zh-CN"/>
        </w:rPr>
        <w:t>The contribution discuss</w:t>
      </w:r>
      <w:r w:rsidR="00CD2CC0">
        <w:rPr>
          <w:lang w:eastAsia="zh-CN"/>
        </w:rPr>
        <w:t>es</w:t>
      </w:r>
      <w:r>
        <w:rPr>
          <w:lang w:eastAsia="zh-CN"/>
        </w:rPr>
        <w:t xml:space="preserve"> </w:t>
      </w:r>
      <w:r w:rsidR="00534757">
        <w:rPr>
          <w:lang w:eastAsia="zh-CN"/>
        </w:rPr>
        <w:t xml:space="preserve">the </w:t>
      </w:r>
      <w:r w:rsidR="008F72AF" w:rsidRPr="008F72AF">
        <w:rPr>
          <w:lang w:eastAsia="zh-CN"/>
        </w:rPr>
        <w:t xml:space="preserve">WID </w:t>
      </w:r>
      <w:r w:rsidR="003E13E8">
        <w:rPr>
          <w:lang w:eastAsia="zh-CN"/>
        </w:rPr>
        <w:t xml:space="preserve">objective </w:t>
      </w:r>
      <w:r w:rsidR="008F72AF" w:rsidRPr="008F72AF">
        <w:rPr>
          <w:lang w:eastAsia="zh-CN"/>
        </w:rPr>
        <w:t>of “Define mechanism to ensure sidelink operation can be confined to a predetermined geographic area(s) for a given frequency range within non-ITS bands”</w:t>
      </w:r>
      <w:r w:rsidR="003D7F2A">
        <w:rPr>
          <w:rFonts w:hint="eastAsia"/>
          <w:lang w:eastAsia="zh-CN"/>
        </w:rPr>
        <w:t>,</w:t>
      </w:r>
      <w:r w:rsidR="003D7F2A">
        <w:rPr>
          <w:lang w:eastAsia="zh-CN"/>
        </w:rPr>
        <w:t xml:space="preserve"> </w:t>
      </w:r>
      <w:r w:rsidR="003E13E8">
        <w:rPr>
          <w:lang w:eastAsia="zh-CN"/>
        </w:rPr>
        <w:t>with</w:t>
      </w:r>
      <w:r w:rsidR="003D7F2A">
        <w:rPr>
          <w:lang w:eastAsia="zh-CN"/>
        </w:rPr>
        <w:t xml:space="preserve"> the following </w:t>
      </w:r>
      <w:r w:rsidR="005F3FDB">
        <w:rPr>
          <w:lang w:eastAsia="zh-CN"/>
        </w:rPr>
        <w:t xml:space="preserve">observation and </w:t>
      </w:r>
      <w:r w:rsidR="003D7F2A">
        <w:rPr>
          <w:lang w:eastAsia="zh-CN"/>
        </w:rPr>
        <w:t>proposal:</w:t>
      </w:r>
    </w:p>
    <w:p w14:paraId="3DBCD4C0" w14:textId="5A1A7A20" w:rsidR="003E13E8" w:rsidRPr="00192FB1" w:rsidRDefault="003E13E8" w:rsidP="003E13E8">
      <w:pPr>
        <w:jc w:val="both"/>
        <w:rPr>
          <w:b/>
          <w:kern w:val="2"/>
          <w:lang w:eastAsia="zh-CN"/>
        </w:rPr>
      </w:pPr>
      <w:r w:rsidRPr="00192FB1">
        <w:rPr>
          <w:b/>
          <w:kern w:val="2"/>
          <w:lang w:eastAsia="zh-CN"/>
        </w:rPr>
        <w:t xml:space="preserve">Observation: As per Rel-16 SA2 Spec, TS 23.287, it is already supported that </w:t>
      </w:r>
      <w:r>
        <w:rPr>
          <w:b/>
          <w:kern w:val="2"/>
          <w:lang w:eastAsia="zh-CN"/>
        </w:rPr>
        <w:t xml:space="preserve">a </w:t>
      </w:r>
      <w:r w:rsidRPr="00192FB1">
        <w:rPr>
          <w:b/>
          <w:kern w:val="2"/>
          <w:lang w:eastAsia="zh-CN"/>
        </w:rPr>
        <w:t>UE is pre</w:t>
      </w:r>
      <w:r>
        <w:rPr>
          <w:b/>
          <w:kern w:val="2"/>
          <w:lang w:eastAsia="zh-CN"/>
        </w:rPr>
        <w:t>-</w:t>
      </w:r>
      <w:r w:rsidRPr="00192FB1">
        <w:rPr>
          <w:b/>
          <w:kern w:val="2"/>
          <w:lang w:eastAsia="zh-CN"/>
        </w:rPr>
        <w:t>configured with carrier frequency(ies)/frequency band(s)</w:t>
      </w:r>
      <w:r>
        <w:rPr>
          <w:b/>
          <w:kern w:val="2"/>
          <w:lang w:eastAsia="zh-CN"/>
        </w:rPr>
        <w:t>,</w:t>
      </w:r>
      <w:r w:rsidRPr="00192FB1">
        <w:rPr>
          <w:b/>
          <w:kern w:val="2"/>
          <w:lang w:eastAsia="zh-CN"/>
        </w:rPr>
        <w:t xml:space="preserve"> </w:t>
      </w:r>
      <w:r>
        <w:rPr>
          <w:b/>
          <w:kern w:val="2"/>
          <w:lang w:eastAsia="zh-CN"/>
        </w:rPr>
        <w:t xml:space="preserve">where a UE is allowed to perform NR SL communication </w:t>
      </w:r>
      <w:r w:rsidRPr="00192FB1">
        <w:rPr>
          <w:b/>
          <w:kern w:val="2"/>
          <w:lang w:eastAsia="zh-CN"/>
        </w:rPr>
        <w:t>in a specific geographical area</w:t>
      </w:r>
      <w:r>
        <w:rPr>
          <w:b/>
          <w:kern w:val="2"/>
          <w:lang w:eastAsia="zh-CN"/>
        </w:rPr>
        <w:t>(s)</w:t>
      </w:r>
      <w:r w:rsidRPr="00192FB1">
        <w:rPr>
          <w:b/>
          <w:kern w:val="2"/>
          <w:lang w:eastAsia="zh-CN"/>
        </w:rPr>
        <w:t xml:space="preserve">, </w:t>
      </w:r>
      <w:r>
        <w:rPr>
          <w:b/>
          <w:kern w:val="2"/>
          <w:lang w:eastAsia="zh-CN"/>
        </w:rPr>
        <w:t xml:space="preserve">in case the </w:t>
      </w:r>
      <w:r w:rsidRPr="00FA6F85">
        <w:rPr>
          <w:b/>
          <w:kern w:val="2"/>
          <w:lang w:eastAsia="zh-CN"/>
        </w:rPr>
        <w:t>carrier frequency(ies)/frequency band(s)</w:t>
      </w:r>
      <w:r>
        <w:rPr>
          <w:b/>
          <w:kern w:val="2"/>
          <w:lang w:eastAsia="zh-CN"/>
        </w:rPr>
        <w:t xml:space="preserve"> are non-operator managed or the UE is </w:t>
      </w:r>
      <w:r w:rsidRPr="00192FB1">
        <w:rPr>
          <w:b/>
          <w:kern w:val="2"/>
          <w:lang w:eastAsia="zh-CN"/>
        </w:rPr>
        <w:t>not serv</w:t>
      </w:r>
      <w:r>
        <w:rPr>
          <w:b/>
          <w:kern w:val="2"/>
          <w:lang w:eastAsia="zh-CN"/>
        </w:rPr>
        <w:t>ed</w:t>
      </w:r>
      <w:r w:rsidRPr="00192FB1">
        <w:rPr>
          <w:b/>
          <w:kern w:val="2"/>
          <w:lang w:eastAsia="zh-CN"/>
        </w:rPr>
        <w:t xml:space="preserve"> by NR or E-UTRA</w:t>
      </w:r>
      <w:r>
        <w:rPr>
          <w:b/>
          <w:kern w:val="2"/>
          <w:lang w:eastAsia="zh-CN"/>
        </w:rPr>
        <w:t xml:space="preserve"> (e.g. no NW coverage). This Rel-16 mechanism is not limited to ITS carrier(s)/band(s).</w:t>
      </w:r>
    </w:p>
    <w:p w14:paraId="327313BB" w14:textId="7B7C441B" w:rsidR="002732A4" w:rsidRDefault="003E13E8" w:rsidP="005F3FDB">
      <w:pPr>
        <w:spacing w:afterLines="50" w:after="120"/>
        <w:jc w:val="both"/>
        <w:rPr>
          <w:b/>
          <w:lang w:eastAsia="zh-CN"/>
        </w:rPr>
      </w:pPr>
      <w:r>
        <w:rPr>
          <w:b/>
          <w:lang w:eastAsia="zh-CN"/>
        </w:rPr>
        <w:t>Proposal 1</w:t>
      </w:r>
      <w:r w:rsidRPr="00736958">
        <w:rPr>
          <w:b/>
          <w:lang w:eastAsia="zh-CN"/>
        </w:rPr>
        <w:t xml:space="preserve">: </w:t>
      </w:r>
      <w:r>
        <w:rPr>
          <w:b/>
          <w:lang w:eastAsia="zh-CN"/>
        </w:rPr>
        <w:t xml:space="preserve">The Objective 5 in Rel-17 SL enhancement WI can already be supported by Rel-16 SA2 spec, TS 23.287. RAN2 to confirm that </w:t>
      </w:r>
      <w:r w:rsidRPr="00F65B8C">
        <w:rPr>
          <w:b/>
          <w:lang w:eastAsia="zh-CN"/>
        </w:rPr>
        <w:t>no extra</w:t>
      </w:r>
      <w:r>
        <w:rPr>
          <w:b/>
          <w:lang w:eastAsia="zh-CN"/>
        </w:rPr>
        <w:t xml:space="preserve"> standard efforts </w:t>
      </w:r>
      <w:r w:rsidRPr="00F65B8C">
        <w:rPr>
          <w:b/>
          <w:lang w:eastAsia="zh-CN"/>
        </w:rPr>
        <w:t xml:space="preserve">need to be done in </w:t>
      </w:r>
      <w:r>
        <w:rPr>
          <w:b/>
          <w:lang w:eastAsia="zh-CN"/>
        </w:rPr>
        <w:t>RAN WGs towards this objective</w:t>
      </w:r>
      <w:r w:rsidRPr="00806497">
        <w:rPr>
          <w:lang w:eastAsia="zh-CN"/>
        </w:rPr>
        <w:t>.</w:t>
      </w:r>
    </w:p>
    <w:bookmarkEnd w:id="0"/>
    <w:bookmarkEnd w:id="2"/>
    <w:bookmarkEnd w:id="3"/>
    <w:p w14:paraId="62EC4DBD" w14:textId="77777777" w:rsidR="00505E15" w:rsidRDefault="00505E15" w:rsidP="00E03F51">
      <w:pPr>
        <w:pStyle w:val="1"/>
        <w:tabs>
          <w:tab w:val="clear" w:pos="567"/>
          <w:tab w:val="num" w:pos="709"/>
        </w:tabs>
        <w:spacing w:line="276" w:lineRule="auto"/>
        <w:ind w:left="709" w:hanging="709"/>
        <w:jc w:val="both"/>
      </w:pPr>
      <w:r>
        <w:rPr>
          <w:lang w:eastAsia="zh-CN"/>
        </w:rPr>
        <w:t>Reference</w:t>
      </w:r>
    </w:p>
    <w:p w14:paraId="3A8198B5" w14:textId="337B5366" w:rsidR="006A322F" w:rsidRPr="006A322F" w:rsidRDefault="006A322F" w:rsidP="006A322F">
      <w:pPr>
        <w:pStyle w:val="af0"/>
        <w:numPr>
          <w:ilvl w:val="0"/>
          <w:numId w:val="31"/>
        </w:numPr>
        <w:rPr>
          <w:rFonts w:ascii="Times New Roman" w:hAnsi="Times New Roman" w:cs="Times New Roman"/>
        </w:rPr>
      </w:pPr>
      <w:r w:rsidRPr="006A322F">
        <w:rPr>
          <w:rFonts w:ascii="Times New Roman" w:hAnsi="Times New Roman" w:cs="Times New Roman"/>
        </w:rPr>
        <w:t>RP-193231, New WID on NR sidelink enhancement.</w:t>
      </w:r>
    </w:p>
    <w:p w14:paraId="55023A76" w14:textId="322526D6" w:rsidR="00BC1CFA" w:rsidRPr="00E93CBA" w:rsidRDefault="0042257A" w:rsidP="00E93CBA">
      <w:pPr>
        <w:pStyle w:val="af0"/>
        <w:numPr>
          <w:ilvl w:val="0"/>
          <w:numId w:val="31"/>
        </w:numPr>
        <w:tabs>
          <w:tab w:val="left" w:pos="1701"/>
          <w:tab w:val="left" w:pos="4395"/>
        </w:tabs>
        <w:spacing w:afterLines="50" w:after="120"/>
        <w:rPr>
          <w:rFonts w:ascii="Times New Roman" w:hAnsi="Times New Roman" w:cs="Times New Roman"/>
        </w:rPr>
      </w:pPr>
      <w:r>
        <w:rPr>
          <w:rFonts w:ascii="Times New Roman" w:hAnsi="Times New Roman" w:cs="Times New Roman"/>
        </w:rPr>
        <w:t xml:space="preserve">3GPP TS 23.287, </w:t>
      </w:r>
      <w:r w:rsidR="00E93CBA" w:rsidRPr="00E93CBA">
        <w:rPr>
          <w:rFonts w:ascii="Times New Roman" w:hAnsi="Times New Roman" w:cs="Times New Roman"/>
        </w:rPr>
        <w:t>Architecture enhancements for 5G System (5GS) to support</w:t>
      </w:r>
      <w:r w:rsidR="00E93CBA">
        <w:rPr>
          <w:rFonts w:ascii="Times New Roman" w:hAnsi="Times New Roman" w:cs="Times New Roman"/>
        </w:rPr>
        <w:t xml:space="preserve"> </w:t>
      </w:r>
      <w:r w:rsidR="00E93CBA" w:rsidRPr="00E93CBA">
        <w:rPr>
          <w:rFonts w:ascii="Times New Roman" w:hAnsi="Times New Roman" w:cs="Times New Roman"/>
        </w:rPr>
        <w:t>Vehicle-to-Everything (V2X) services</w:t>
      </w:r>
      <w:r w:rsidR="00E93CBA">
        <w:rPr>
          <w:rFonts w:ascii="Times New Roman" w:hAnsi="Times New Roman" w:cs="Times New Roman"/>
        </w:rPr>
        <w:t xml:space="preserve"> </w:t>
      </w:r>
      <w:r w:rsidR="00E93CBA" w:rsidRPr="00E93CBA">
        <w:rPr>
          <w:rFonts w:ascii="Times New Roman" w:hAnsi="Times New Roman" w:cs="Times New Roman"/>
        </w:rPr>
        <w:t>(Release 16)</w:t>
      </w:r>
      <w:r w:rsidR="00E93CBA">
        <w:rPr>
          <w:rFonts w:ascii="Times New Roman" w:hAnsi="Times New Roman" w:cs="Times New Roman"/>
        </w:rPr>
        <w:t>.</w:t>
      </w:r>
    </w:p>
    <w:sectPr w:rsidR="00BC1CFA" w:rsidRPr="00E93CBA" w:rsidSect="008861DC">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4D7516" w14:textId="77777777" w:rsidR="005D5D01" w:rsidRDefault="005D5D01">
      <w:r>
        <w:separator/>
      </w:r>
    </w:p>
  </w:endnote>
  <w:endnote w:type="continuationSeparator" w:id="0">
    <w:p w14:paraId="6FFA4D43" w14:textId="77777777" w:rsidR="005D5D01" w:rsidRDefault="005D5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758022" w14:textId="77777777" w:rsidR="005D5D01" w:rsidRDefault="005D5D01">
      <w:r>
        <w:separator/>
      </w:r>
    </w:p>
  </w:footnote>
  <w:footnote w:type="continuationSeparator" w:id="0">
    <w:p w14:paraId="2EDF43A4" w14:textId="77777777" w:rsidR="005D5D01" w:rsidRDefault="005D5D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BB2F9" w14:textId="77777777" w:rsidR="00354743" w:rsidRDefault="0035474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15pt;height:11.15pt" o:bullet="t">
        <v:imagedata r:id="rId1" o:title="mso3200"/>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DD50F6"/>
    <w:multiLevelType w:val="hybridMultilevel"/>
    <w:tmpl w:val="6ABC3220"/>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B10625"/>
    <w:multiLevelType w:val="hybridMultilevel"/>
    <w:tmpl w:val="B3F4071C"/>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D244CF6"/>
    <w:multiLevelType w:val="hybridMultilevel"/>
    <w:tmpl w:val="65026DD2"/>
    <w:lvl w:ilvl="0" w:tplc="C0C4ADF6">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A3548A"/>
    <w:multiLevelType w:val="hybridMultilevel"/>
    <w:tmpl w:val="DDD24596"/>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9409E4"/>
    <w:multiLevelType w:val="hybridMultilevel"/>
    <w:tmpl w:val="4D784D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67208D"/>
    <w:multiLevelType w:val="hybridMultilevel"/>
    <w:tmpl w:val="FE9C34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D81FFE"/>
    <w:multiLevelType w:val="hybridMultilevel"/>
    <w:tmpl w:val="11A8DF00"/>
    <w:lvl w:ilvl="0" w:tplc="2E54B09A">
      <w:start w:val="1"/>
      <w:numFmt w:val="bullet"/>
      <w:lvlText w:val=""/>
      <w:lvlPicBulletId w:val="0"/>
      <w:lvlJc w:val="left"/>
      <w:pPr>
        <w:ind w:left="4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1F1C2C"/>
    <w:multiLevelType w:val="hybridMultilevel"/>
    <w:tmpl w:val="F816F66A"/>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5" w15:restartNumberingAfterBreak="0">
    <w:nsid w:val="3D0D5CAF"/>
    <w:multiLevelType w:val="hybridMultilevel"/>
    <w:tmpl w:val="422AB6B6"/>
    <w:lvl w:ilvl="0" w:tplc="DF0EE0F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D732D15"/>
    <w:multiLevelType w:val="hybridMultilevel"/>
    <w:tmpl w:val="72E076C4"/>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3841BB"/>
    <w:multiLevelType w:val="hybridMultilevel"/>
    <w:tmpl w:val="E27C61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E61908"/>
    <w:multiLevelType w:val="hybridMultilevel"/>
    <w:tmpl w:val="D56AE25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BD7346"/>
    <w:multiLevelType w:val="hybridMultilevel"/>
    <w:tmpl w:val="07B88506"/>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6457DD"/>
    <w:multiLevelType w:val="hybridMultilevel"/>
    <w:tmpl w:val="22FA1AB6"/>
    <w:lvl w:ilvl="0" w:tplc="2E54B09A">
      <w:start w:val="1"/>
      <w:numFmt w:val="bullet"/>
      <w:lvlText w:val=""/>
      <w:lvlPicBulletId w:val="0"/>
      <w:lvlJc w:val="left"/>
      <w:pPr>
        <w:ind w:left="420" w:hanging="420"/>
      </w:pPr>
      <w:rPr>
        <w:rFonts w:ascii="Wingdings" w:hAnsi="Wingdings"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09195D"/>
    <w:multiLevelType w:val="hybridMultilevel"/>
    <w:tmpl w:val="5EF44AE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2" w15:restartNumberingAfterBreak="0">
    <w:nsid w:val="66453518"/>
    <w:multiLevelType w:val="hybridMultilevel"/>
    <w:tmpl w:val="54943514"/>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FA15A0"/>
    <w:multiLevelType w:val="hybridMultilevel"/>
    <w:tmpl w:val="AC1A0F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15:restartNumberingAfterBreak="0">
    <w:nsid w:val="7D310B47"/>
    <w:multiLevelType w:val="hybridMultilevel"/>
    <w:tmpl w:val="947E1EB6"/>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3"/>
  </w:num>
  <w:num w:numId="3">
    <w:abstractNumId w:val="14"/>
  </w:num>
  <w:num w:numId="4">
    <w:abstractNumId w:val="6"/>
  </w:num>
  <w:num w:numId="5">
    <w:abstractNumId w:val="23"/>
  </w:num>
  <w:num w:numId="6">
    <w:abstractNumId w:val="4"/>
  </w:num>
  <w:num w:numId="7">
    <w:abstractNumId w:val="2"/>
  </w:num>
  <w:num w:numId="8">
    <w:abstractNumId w:val="7"/>
  </w:num>
  <w:num w:numId="9">
    <w:abstractNumId w:val="22"/>
  </w:num>
  <w:num w:numId="10">
    <w:abstractNumId w:val="25"/>
  </w:num>
  <w:num w:numId="11">
    <w:abstractNumId w:val="25"/>
  </w:num>
  <w:num w:numId="12">
    <w:abstractNumId w:val="25"/>
  </w:num>
  <w:num w:numId="13">
    <w:abstractNumId w:val="12"/>
  </w:num>
  <w:num w:numId="14">
    <w:abstractNumId w:val="25"/>
  </w:num>
  <w:num w:numId="15">
    <w:abstractNumId w:val="9"/>
  </w:num>
  <w:num w:numId="16">
    <w:abstractNumId w:val="17"/>
  </w:num>
  <w:num w:numId="17">
    <w:abstractNumId w:val="8"/>
  </w:num>
  <w:num w:numId="18">
    <w:abstractNumId w:val="25"/>
  </w:num>
  <w:num w:numId="19">
    <w:abstractNumId w:val="25"/>
  </w:num>
  <w:num w:numId="20">
    <w:abstractNumId w:val="25"/>
  </w:num>
  <w:num w:numId="21">
    <w:abstractNumId w:val="25"/>
  </w:num>
  <w:num w:numId="22">
    <w:abstractNumId w:val="20"/>
  </w:num>
  <w:num w:numId="23">
    <w:abstractNumId w:val="16"/>
  </w:num>
  <w:num w:numId="24">
    <w:abstractNumId w:val="1"/>
  </w:num>
  <w:num w:numId="25">
    <w:abstractNumId w:val="25"/>
  </w:num>
  <w:num w:numId="26">
    <w:abstractNumId w:val="18"/>
  </w:num>
  <w:num w:numId="27">
    <w:abstractNumId w:val="19"/>
  </w:num>
  <w:num w:numId="28">
    <w:abstractNumId w:val="21"/>
  </w:num>
  <w:num w:numId="29">
    <w:abstractNumId w:val="26"/>
  </w:num>
  <w:num w:numId="30">
    <w:abstractNumId w:val="24"/>
  </w:num>
  <w:num w:numId="31">
    <w:abstractNumId w:val="10"/>
  </w:num>
  <w:num w:numId="32">
    <w:abstractNumId w:val="11"/>
  </w:num>
  <w:num w:numId="33">
    <w:abstractNumId w:val="15"/>
  </w:num>
  <w:num w:numId="34">
    <w:abstractNumId w:val="5"/>
  </w:num>
  <w:num w:numId="35">
    <w:abstractNumId w:val="13"/>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7B"/>
    <w:rsid w:val="00000EE3"/>
    <w:rsid w:val="00000EF2"/>
    <w:rsid w:val="00000FC3"/>
    <w:rsid w:val="00001085"/>
    <w:rsid w:val="00001BF5"/>
    <w:rsid w:val="00002C96"/>
    <w:rsid w:val="0000316C"/>
    <w:rsid w:val="00003486"/>
    <w:rsid w:val="00003B97"/>
    <w:rsid w:val="000049B7"/>
    <w:rsid w:val="000052E8"/>
    <w:rsid w:val="00005DCB"/>
    <w:rsid w:val="000071AA"/>
    <w:rsid w:val="000113C9"/>
    <w:rsid w:val="00015475"/>
    <w:rsid w:val="000156A7"/>
    <w:rsid w:val="00016A40"/>
    <w:rsid w:val="0002079A"/>
    <w:rsid w:val="000207CA"/>
    <w:rsid w:val="00021F34"/>
    <w:rsid w:val="00022BAC"/>
    <w:rsid w:val="00022E4A"/>
    <w:rsid w:val="00025294"/>
    <w:rsid w:val="00026DBA"/>
    <w:rsid w:val="00027B28"/>
    <w:rsid w:val="00030B2D"/>
    <w:rsid w:val="00033322"/>
    <w:rsid w:val="0003406C"/>
    <w:rsid w:val="000354FA"/>
    <w:rsid w:val="000358F6"/>
    <w:rsid w:val="0003636E"/>
    <w:rsid w:val="0003693A"/>
    <w:rsid w:val="000401DB"/>
    <w:rsid w:val="00041059"/>
    <w:rsid w:val="0004137A"/>
    <w:rsid w:val="00042946"/>
    <w:rsid w:val="00042C9A"/>
    <w:rsid w:val="00044995"/>
    <w:rsid w:val="00044E8B"/>
    <w:rsid w:val="00050F8F"/>
    <w:rsid w:val="00051227"/>
    <w:rsid w:val="0005517D"/>
    <w:rsid w:val="00055B62"/>
    <w:rsid w:val="0005728E"/>
    <w:rsid w:val="000628C7"/>
    <w:rsid w:val="00063525"/>
    <w:rsid w:val="00066612"/>
    <w:rsid w:val="0007013E"/>
    <w:rsid w:val="000703A5"/>
    <w:rsid w:val="000711EE"/>
    <w:rsid w:val="000719E9"/>
    <w:rsid w:val="00077711"/>
    <w:rsid w:val="0007782F"/>
    <w:rsid w:val="000779C9"/>
    <w:rsid w:val="000809B1"/>
    <w:rsid w:val="00080A07"/>
    <w:rsid w:val="00082065"/>
    <w:rsid w:val="00082AED"/>
    <w:rsid w:val="0008663C"/>
    <w:rsid w:val="0008696C"/>
    <w:rsid w:val="00086FAA"/>
    <w:rsid w:val="000877E8"/>
    <w:rsid w:val="00091688"/>
    <w:rsid w:val="00091CB2"/>
    <w:rsid w:val="00091F7C"/>
    <w:rsid w:val="000922FE"/>
    <w:rsid w:val="00093990"/>
    <w:rsid w:val="00093ECD"/>
    <w:rsid w:val="0009461E"/>
    <w:rsid w:val="00096303"/>
    <w:rsid w:val="000A02AE"/>
    <w:rsid w:val="000A1036"/>
    <w:rsid w:val="000A299F"/>
    <w:rsid w:val="000A3EBC"/>
    <w:rsid w:val="000A43B1"/>
    <w:rsid w:val="000A6394"/>
    <w:rsid w:val="000B38BF"/>
    <w:rsid w:val="000B3B03"/>
    <w:rsid w:val="000B41A0"/>
    <w:rsid w:val="000B46C2"/>
    <w:rsid w:val="000B4D17"/>
    <w:rsid w:val="000B4E3C"/>
    <w:rsid w:val="000B52CE"/>
    <w:rsid w:val="000B7764"/>
    <w:rsid w:val="000B7FFA"/>
    <w:rsid w:val="000C038A"/>
    <w:rsid w:val="000C0C8F"/>
    <w:rsid w:val="000C2081"/>
    <w:rsid w:val="000C292E"/>
    <w:rsid w:val="000C4788"/>
    <w:rsid w:val="000C4F13"/>
    <w:rsid w:val="000C6598"/>
    <w:rsid w:val="000C7637"/>
    <w:rsid w:val="000D00CE"/>
    <w:rsid w:val="000D275B"/>
    <w:rsid w:val="000D36D1"/>
    <w:rsid w:val="000D7C5B"/>
    <w:rsid w:val="000E096E"/>
    <w:rsid w:val="000E15A3"/>
    <w:rsid w:val="000E165F"/>
    <w:rsid w:val="000E278F"/>
    <w:rsid w:val="000E6EDF"/>
    <w:rsid w:val="000F2103"/>
    <w:rsid w:val="000F226F"/>
    <w:rsid w:val="000F28ED"/>
    <w:rsid w:val="000F34DA"/>
    <w:rsid w:val="000F4C78"/>
    <w:rsid w:val="000F5A43"/>
    <w:rsid w:val="000F60C6"/>
    <w:rsid w:val="000F67A3"/>
    <w:rsid w:val="001000B5"/>
    <w:rsid w:val="001000DD"/>
    <w:rsid w:val="001010D0"/>
    <w:rsid w:val="00101736"/>
    <w:rsid w:val="00103445"/>
    <w:rsid w:val="001042E2"/>
    <w:rsid w:val="00105395"/>
    <w:rsid w:val="00106904"/>
    <w:rsid w:val="00106F73"/>
    <w:rsid w:val="00107586"/>
    <w:rsid w:val="00110050"/>
    <w:rsid w:val="00110651"/>
    <w:rsid w:val="001132F6"/>
    <w:rsid w:val="00113A60"/>
    <w:rsid w:val="00114712"/>
    <w:rsid w:val="00114970"/>
    <w:rsid w:val="00115605"/>
    <w:rsid w:val="001178DF"/>
    <w:rsid w:val="00121239"/>
    <w:rsid w:val="001217C2"/>
    <w:rsid w:val="001227AE"/>
    <w:rsid w:val="00123A3D"/>
    <w:rsid w:val="00123C8E"/>
    <w:rsid w:val="00124174"/>
    <w:rsid w:val="00124229"/>
    <w:rsid w:val="00125A01"/>
    <w:rsid w:val="001275A5"/>
    <w:rsid w:val="001275FD"/>
    <w:rsid w:val="00127EBA"/>
    <w:rsid w:val="001304CF"/>
    <w:rsid w:val="00132ED3"/>
    <w:rsid w:val="00134DD9"/>
    <w:rsid w:val="001359A7"/>
    <w:rsid w:val="0013653C"/>
    <w:rsid w:val="00136E7F"/>
    <w:rsid w:val="00136FE8"/>
    <w:rsid w:val="001372F0"/>
    <w:rsid w:val="00137938"/>
    <w:rsid w:val="00140085"/>
    <w:rsid w:val="001419FB"/>
    <w:rsid w:val="00144C5E"/>
    <w:rsid w:val="00145D43"/>
    <w:rsid w:val="00146E08"/>
    <w:rsid w:val="00152550"/>
    <w:rsid w:val="001526F1"/>
    <w:rsid w:val="001531B3"/>
    <w:rsid w:val="00154ECD"/>
    <w:rsid w:val="00154FBD"/>
    <w:rsid w:val="00155B93"/>
    <w:rsid w:val="00156169"/>
    <w:rsid w:val="00156304"/>
    <w:rsid w:val="00160282"/>
    <w:rsid w:val="00162369"/>
    <w:rsid w:val="001632F2"/>
    <w:rsid w:val="001650E3"/>
    <w:rsid w:val="00167A50"/>
    <w:rsid w:val="001712D8"/>
    <w:rsid w:val="001717FE"/>
    <w:rsid w:val="00175970"/>
    <w:rsid w:val="00176E1B"/>
    <w:rsid w:val="00176E7E"/>
    <w:rsid w:val="00183563"/>
    <w:rsid w:val="00184AD2"/>
    <w:rsid w:val="001853CA"/>
    <w:rsid w:val="00185546"/>
    <w:rsid w:val="001859E8"/>
    <w:rsid w:val="00186F93"/>
    <w:rsid w:val="001901AD"/>
    <w:rsid w:val="001926B2"/>
    <w:rsid w:val="00192C46"/>
    <w:rsid w:val="00192FB1"/>
    <w:rsid w:val="0019327A"/>
    <w:rsid w:val="00193B4C"/>
    <w:rsid w:val="00193C48"/>
    <w:rsid w:val="0019435A"/>
    <w:rsid w:val="00196F88"/>
    <w:rsid w:val="001975D3"/>
    <w:rsid w:val="001A022C"/>
    <w:rsid w:val="001A0C24"/>
    <w:rsid w:val="001A0DD5"/>
    <w:rsid w:val="001A1003"/>
    <w:rsid w:val="001A1AAE"/>
    <w:rsid w:val="001A3567"/>
    <w:rsid w:val="001A3A8D"/>
    <w:rsid w:val="001A6150"/>
    <w:rsid w:val="001A6DD3"/>
    <w:rsid w:val="001A7B60"/>
    <w:rsid w:val="001B0D85"/>
    <w:rsid w:val="001B13E4"/>
    <w:rsid w:val="001B1F97"/>
    <w:rsid w:val="001B23DA"/>
    <w:rsid w:val="001B5ACE"/>
    <w:rsid w:val="001B6322"/>
    <w:rsid w:val="001B6E57"/>
    <w:rsid w:val="001B6F95"/>
    <w:rsid w:val="001B7A65"/>
    <w:rsid w:val="001C0C29"/>
    <w:rsid w:val="001C23D1"/>
    <w:rsid w:val="001C274D"/>
    <w:rsid w:val="001C2D27"/>
    <w:rsid w:val="001C2D74"/>
    <w:rsid w:val="001C3BAA"/>
    <w:rsid w:val="001C3CBE"/>
    <w:rsid w:val="001C5319"/>
    <w:rsid w:val="001C5522"/>
    <w:rsid w:val="001C5AF0"/>
    <w:rsid w:val="001C615D"/>
    <w:rsid w:val="001C7306"/>
    <w:rsid w:val="001C7B1C"/>
    <w:rsid w:val="001D0E19"/>
    <w:rsid w:val="001D2071"/>
    <w:rsid w:val="001D2ABA"/>
    <w:rsid w:val="001D56A6"/>
    <w:rsid w:val="001D6150"/>
    <w:rsid w:val="001D7A04"/>
    <w:rsid w:val="001D7FBF"/>
    <w:rsid w:val="001E089C"/>
    <w:rsid w:val="001E24E7"/>
    <w:rsid w:val="001E3AA5"/>
    <w:rsid w:val="001E41F3"/>
    <w:rsid w:val="001E5CC9"/>
    <w:rsid w:val="001E610E"/>
    <w:rsid w:val="001E675E"/>
    <w:rsid w:val="001E6DF2"/>
    <w:rsid w:val="001E755B"/>
    <w:rsid w:val="001E7CD6"/>
    <w:rsid w:val="001F06CC"/>
    <w:rsid w:val="001F196A"/>
    <w:rsid w:val="001F28DD"/>
    <w:rsid w:val="001F2945"/>
    <w:rsid w:val="001F4812"/>
    <w:rsid w:val="001F533B"/>
    <w:rsid w:val="0020007D"/>
    <w:rsid w:val="00201294"/>
    <w:rsid w:val="00201F49"/>
    <w:rsid w:val="002039D2"/>
    <w:rsid w:val="002045F0"/>
    <w:rsid w:val="002056DA"/>
    <w:rsid w:val="00205C01"/>
    <w:rsid w:val="00206BCD"/>
    <w:rsid w:val="00210C45"/>
    <w:rsid w:val="00211857"/>
    <w:rsid w:val="00215038"/>
    <w:rsid w:val="00216D90"/>
    <w:rsid w:val="00217758"/>
    <w:rsid w:val="0022091B"/>
    <w:rsid w:val="00221B97"/>
    <w:rsid w:val="00223127"/>
    <w:rsid w:val="0022372F"/>
    <w:rsid w:val="0022615B"/>
    <w:rsid w:val="00226902"/>
    <w:rsid w:val="0022777F"/>
    <w:rsid w:val="00227B87"/>
    <w:rsid w:val="002311BA"/>
    <w:rsid w:val="00231234"/>
    <w:rsid w:val="0023135C"/>
    <w:rsid w:val="00231570"/>
    <w:rsid w:val="00233167"/>
    <w:rsid w:val="00234B31"/>
    <w:rsid w:val="00234B79"/>
    <w:rsid w:val="0023500E"/>
    <w:rsid w:val="00235382"/>
    <w:rsid w:val="00240ABE"/>
    <w:rsid w:val="00240D79"/>
    <w:rsid w:val="00241E00"/>
    <w:rsid w:val="0024289C"/>
    <w:rsid w:val="0024358F"/>
    <w:rsid w:val="002437FF"/>
    <w:rsid w:val="002438A7"/>
    <w:rsid w:val="00244206"/>
    <w:rsid w:val="00244522"/>
    <w:rsid w:val="00244C58"/>
    <w:rsid w:val="002468B4"/>
    <w:rsid w:val="002508C1"/>
    <w:rsid w:val="00252099"/>
    <w:rsid w:val="00252703"/>
    <w:rsid w:val="00253E54"/>
    <w:rsid w:val="0025657C"/>
    <w:rsid w:val="00257EFA"/>
    <w:rsid w:val="0026004D"/>
    <w:rsid w:val="0026216C"/>
    <w:rsid w:val="00262789"/>
    <w:rsid w:val="00263196"/>
    <w:rsid w:val="00263198"/>
    <w:rsid w:val="0026497F"/>
    <w:rsid w:val="00265CF9"/>
    <w:rsid w:val="00265D96"/>
    <w:rsid w:val="002732A4"/>
    <w:rsid w:val="002732DC"/>
    <w:rsid w:val="002732F4"/>
    <w:rsid w:val="00273B2F"/>
    <w:rsid w:val="00274CB4"/>
    <w:rsid w:val="00275D12"/>
    <w:rsid w:val="00275D32"/>
    <w:rsid w:val="00275E84"/>
    <w:rsid w:val="00277A07"/>
    <w:rsid w:val="002821EF"/>
    <w:rsid w:val="002840B4"/>
    <w:rsid w:val="00284638"/>
    <w:rsid w:val="00284A9D"/>
    <w:rsid w:val="002860C4"/>
    <w:rsid w:val="0028621C"/>
    <w:rsid w:val="00286F49"/>
    <w:rsid w:val="00287DAF"/>
    <w:rsid w:val="00291554"/>
    <w:rsid w:val="00291804"/>
    <w:rsid w:val="00291993"/>
    <w:rsid w:val="0029295C"/>
    <w:rsid w:val="0029404E"/>
    <w:rsid w:val="00295040"/>
    <w:rsid w:val="002964A4"/>
    <w:rsid w:val="00297D1E"/>
    <w:rsid w:val="002A01CC"/>
    <w:rsid w:val="002A0601"/>
    <w:rsid w:val="002A0CAE"/>
    <w:rsid w:val="002A1736"/>
    <w:rsid w:val="002A19E2"/>
    <w:rsid w:val="002A1D19"/>
    <w:rsid w:val="002A2535"/>
    <w:rsid w:val="002A27FC"/>
    <w:rsid w:val="002A4AD4"/>
    <w:rsid w:val="002A4D1D"/>
    <w:rsid w:val="002A5DA5"/>
    <w:rsid w:val="002A7C02"/>
    <w:rsid w:val="002B0E45"/>
    <w:rsid w:val="002B1250"/>
    <w:rsid w:val="002B211E"/>
    <w:rsid w:val="002B4544"/>
    <w:rsid w:val="002B4686"/>
    <w:rsid w:val="002B4CF9"/>
    <w:rsid w:val="002B5741"/>
    <w:rsid w:val="002B659A"/>
    <w:rsid w:val="002B671B"/>
    <w:rsid w:val="002B6851"/>
    <w:rsid w:val="002B7660"/>
    <w:rsid w:val="002C2DA4"/>
    <w:rsid w:val="002C376B"/>
    <w:rsid w:val="002C42C9"/>
    <w:rsid w:val="002C568C"/>
    <w:rsid w:val="002C7B20"/>
    <w:rsid w:val="002D0F2E"/>
    <w:rsid w:val="002D1F22"/>
    <w:rsid w:val="002D277E"/>
    <w:rsid w:val="002D47FF"/>
    <w:rsid w:val="002D4BDE"/>
    <w:rsid w:val="002D5B19"/>
    <w:rsid w:val="002D67AC"/>
    <w:rsid w:val="002E102A"/>
    <w:rsid w:val="002E2FF8"/>
    <w:rsid w:val="002E3E38"/>
    <w:rsid w:val="002E799B"/>
    <w:rsid w:val="002E79A6"/>
    <w:rsid w:val="002F01D1"/>
    <w:rsid w:val="002F0FB9"/>
    <w:rsid w:val="002F2418"/>
    <w:rsid w:val="002F3E52"/>
    <w:rsid w:val="002F4C23"/>
    <w:rsid w:val="002F6AFE"/>
    <w:rsid w:val="002F701C"/>
    <w:rsid w:val="00300AF9"/>
    <w:rsid w:val="00302CCD"/>
    <w:rsid w:val="00303455"/>
    <w:rsid w:val="0030436F"/>
    <w:rsid w:val="00305300"/>
    <w:rsid w:val="00305409"/>
    <w:rsid w:val="0030581A"/>
    <w:rsid w:val="0030581C"/>
    <w:rsid w:val="00310909"/>
    <w:rsid w:val="00312E3C"/>
    <w:rsid w:val="00313884"/>
    <w:rsid w:val="00313D30"/>
    <w:rsid w:val="0031493E"/>
    <w:rsid w:val="00315CD9"/>
    <w:rsid w:val="00316037"/>
    <w:rsid w:val="003162C2"/>
    <w:rsid w:val="00316FB7"/>
    <w:rsid w:val="00317ABB"/>
    <w:rsid w:val="00317E9C"/>
    <w:rsid w:val="00320845"/>
    <w:rsid w:val="00321B9C"/>
    <w:rsid w:val="00321D62"/>
    <w:rsid w:val="00322E96"/>
    <w:rsid w:val="00323A32"/>
    <w:rsid w:val="00325364"/>
    <w:rsid w:val="0032540D"/>
    <w:rsid w:val="003265FE"/>
    <w:rsid w:val="00327F0F"/>
    <w:rsid w:val="00331A76"/>
    <w:rsid w:val="003325AB"/>
    <w:rsid w:val="00332715"/>
    <w:rsid w:val="00332853"/>
    <w:rsid w:val="00332EF1"/>
    <w:rsid w:val="00333C5A"/>
    <w:rsid w:val="00335679"/>
    <w:rsid w:val="003366AC"/>
    <w:rsid w:val="00336A86"/>
    <w:rsid w:val="003422C2"/>
    <w:rsid w:val="003425E6"/>
    <w:rsid w:val="003431AF"/>
    <w:rsid w:val="003463B7"/>
    <w:rsid w:val="003465EA"/>
    <w:rsid w:val="00350888"/>
    <w:rsid w:val="0035121D"/>
    <w:rsid w:val="00352943"/>
    <w:rsid w:val="003532A4"/>
    <w:rsid w:val="00354572"/>
    <w:rsid w:val="00354743"/>
    <w:rsid w:val="00355D8C"/>
    <w:rsid w:val="00356207"/>
    <w:rsid w:val="00356E6E"/>
    <w:rsid w:val="00356EC3"/>
    <w:rsid w:val="00357692"/>
    <w:rsid w:val="00360959"/>
    <w:rsid w:val="00360F3D"/>
    <w:rsid w:val="003623F8"/>
    <w:rsid w:val="00362CC4"/>
    <w:rsid w:val="00366386"/>
    <w:rsid w:val="00366411"/>
    <w:rsid w:val="00366416"/>
    <w:rsid w:val="003705B6"/>
    <w:rsid w:val="00370AA0"/>
    <w:rsid w:val="00371EFD"/>
    <w:rsid w:val="00372D9D"/>
    <w:rsid w:val="00373CED"/>
    <w:rsid w:val="00375ABC"/>
    <w:rsid w:val="00376ACC"/>
    <w:rsid w:val="00376D07"/>
    <w:rsid w:val="00376E39"/>
    <w:rsid w:val="00380E43"/>
    <w:rsid w:val="00383A4E"/>
    <w:rsid w:val="00384729"/>
    <w:rsid w:val="00391855"/>
    <w:rsid w:val="00396735"/>
    <w:rsid w:val="00397B6C"/>
    <w:rsid w:val="003A1161"/>
    <w:rsid w:val="003A1227"/>
    <w:rsid w:val="003A133E"/>
    <w:rsid w:val="003A2990"/>
    <w:rsid w:val="003A613B"/>
    <w:rsid w:val="003A7104"/>
    <w:rsid w:val="003B03CF"/>
    <w:rsid w:val="003B1997"/>
    <w:rsid w:val="003B2489"/>
    <w:rsid w:val="003B27DC"/>
    <w:rsid w:val="003B351F"/>
    <w:rsid w:val="003B4E47"/>
    <w:rsid w:val="003B520E"/>
    <w:rsid w:val="003B53CF"/>
    <w:rsid w:val="003B587A"/>
    <w:rsid w:val="003B721A"/>
    <w:rsid w:val="003B7D14"/>
    <w:rsid w:val="003C0EFE"/>
    <w:rsid w:val="003C20E0"/>
    <w:rsid w:val="003C253E"/>
    <w:rsid w:val="003C4911"/>
    <w:rsid w:val="003C5484"/>
    <w:rsid w:val="003C553E"/>
    <w:rsid w:val="003C7A70"/>
    <w:rsid w:val="003D3E18"/>
    <w:rsid w:val="003D5E45"/>
    <w:rsid w:val="003D749C"/>
    <w:rsid w:val="003D7F2A"/>
    <w:rsid w:val="003E05A7"/>
    <w:rsid w:val="003E0C8F"/>
    <w:rsid w:val="003E13E8"/>
    <w:rsid w:val="003E1A36"/>
    <w:rsid w:val="003E3042"/>
    <w:rsid w:val="003E3B3F"/>
    <w:rsid w:val="003E3B4E"/>
    <w:rsid w:val="003E6B9A"/>
    <w:rsid w:val="003E7ADB"/>
    <w:rsid w:val="003E7BC2"/>
    <w:rsid w:val="003F18DF"/>
    <w:rsid w:val="003F448E"/>
    <w:rsid w:val="003F4A7A"/>
    <w:rsid w:val="003F4D8B"/>
    <w:rsid w:val="003F792F"/>
    <w:rsid w:val="00400183"/>
    <w:rsid w:val="00401A3B"/>
    <w:rsid w:val="004036D0"/>
    <w:rsid w:val="00405005"/>
    <w:rsid w:val="00405369"/>
    <w:rsid w:val="00405C2A"/>
    <w:rsid w:val="00406789"/>
    <w:rsid w:val="0041107A"/>
    <w:rsid w:val="00412438"/>
    <w:rsid w:val="00414AE9"/>
    <w:rsid w:val="00414CE1"/>
    <w:rsid w:val="004200CD"/>
    <w:rsid w:val="0042257A"/>
    <w:rsid w:val="00423932"/>
    <w:rsid w:val="004242F1"/>
    <w:rsid w:val="0042430E"/>
    <w:rsid w:val="00424C2A"/>
    <w:rsid w:val="00425C21"/>
    <w:rsid w:val="00427597"/>
    <w:rsid w:val="00430146"/>
    <w:rsid w:val="00432F8E"/>
    <w:rsid w:val="004330DE"/>
    <w:rsid w:val="0043570C"/>
    <w:rsid w:val="00442013"/>
    <w:rsid w:val="00442498"/>
    <w:rsid w:val="004443C2"/>
    <w:rsid w:val="00445587"/>
    <w:rsid w:val="00445917"/>
    <w:rsid w:val="00445C30"/>
    <w:rsid w:val="00450F6C"/>
    <w:rsid w:val="00451F3D"/>
    <w:rsid w:val="00452669"/>
    <w:rsid w:val="00452F7C"/>
    <w:rsid w:val="00453B03"/>
    <w:rsid w:val="00454FC0"/>
    <w:rsid w:val="004562BF"/>
    <w:rsid w:val="00460559"/>
    <w:rsid w:val="004607D8"/>
    <w:rsid w:val="00461B1C"/>
    <w:rsid w:val="00461B5E"/>
    <w:rsid w:val="00464531"/>
    <w:rsid w:val="004659E6"/>
    <w:rsid w:val="00466CDA"/>
    <w:rsid w:val="00467F10"/>
    <w:rsid w:val="00471A49"/>
    <w:rsid w:val="00473372"/>
    <w:rsid w:val="00473FEF"/>
    <w:rsid w:val="004744CE"/>
    <w:rsid w:val="0047483A"/>
    <w:rsid w:val="00475949"/>
    <w:rsid w:val="00475BA9"/>
    <w:rsid w:val="00480DFE"/>
    <w:rsid w:val="00480F8C"/>
    <w:rsid w:val="00481333"/>
    <w:rsid w:val="00482DBD"/>
    <w:rsid w:val="00484356"/>
    <w:rsid w:val="00486165"/>
    <w:rsid w:val="00486946"/>
    <w:rsid w:val="004869C1"/>
    <w:rsid w:val="004900CC"/>
    <w:rsid w:val="004950E2"/>
    <w:rsid w:val="00495B01"/>
    <w:rsid w:val="004965F1"/>
    <w:rsid w:val="004A02C3"/>
    <w:rsid w:val="004A03A8"/>
    <w:rsid w:val="004A0B8D"/>
    <w:rsid w:val="004A1AF3"/>
    <w:rsid w:val="004A2843"/>
    <w:rsid w:val="004A288C"/>
    <w:rsid w:val="004A2B99"/>
    <w:rsid w:val="004A3402"/>
    <w:rsid w:val="004A378C"/>
    <w:rsid w:val="004A40F8"/>
    <w:rsid w:val="004A7676"/>
    <w:rsid w:val="004B2381"/>
    <w:rsid w:val="004B605F"/>
    <w:rsid w:val="004B6A44"/>
    <w:rsid w:val="004B75B7"/>
    <w:rsid w:val="004B7622"/>
    <w:rsid w:val="004C19D8"/>
    <w:rsid w:val="004C4E5F"/>
    <w:rsid w:val="004C6592"/>
    <w:rsid w:val="004C66A8"/>
    <w:rsid w:val="004C6849"/>
    <w:rsid w:val="004C6A84"/>
    <w:rsid w:val="004D1BF5"/>
    <w:rsid w:val="004D2279"/>
    <w:rsid w:val="004D3BDC"/>
    <w:rsid w:val="004D7C7D"/>
    <w:rsid w:val="004E4926"/>
    <w:rsid w:val="004E4BF8"/>
    <w:rsid w:val="004F346C"/>
    <w:rsid w:val="004F5E44"/>
    <w:rsid w:val="004F615D"/>
    <w:rsid w:val="004F6164"/>
    <w:rsid w:val="004F7700"/>
    <w:rsid w:val="004F7C8A"/>
    <w:rsid w:val="0050032A"/>
    <w:rsid w:val="00501E55"/>
    <w:rsid w:val="0050481C"/>
    <w:rsid w:val="00504BF9"/>
    <w:rsid w:val="00504FA3"/>
    <w:rsid w:val="00505128"/>
    <w:rsid w:val="00505E15"/>
    <w:rsid w:val="005060DE"/>
    <w:rsid w:val="00506B55"/>
    <w:rsid w:val="00507941"/>
    <w:rsid w:val="0051139B"/>
    <w:rsid w:val="00512EAC"/>
    <w:rsid w:val="005133FB"/>
    <w:rsid w:val="00515034"/>
    <w:rsid w:val="0051580D"/>
    <w:rsid w:val="00515ADB"/>
    <w:rsid w:val="00521B8D"/>
    <w:rsid w:val="00522164"/>
    <w:rsid w:val="005243F4"/>
    <w:rsid w:val="005244C9"/>
    <w:rsid w:val="00525082"/>
    <w:rsid w:val="00526018"/>
    <w:rsid w:val="00532E8D"/>
    <w:rsid w:val="005331A7"/>
    <w:rsid w:val="005344F7"/>
    <w:rsid w:val="00534757"/>
    <w:rsid w:val="00534E7F"/>
    <w:rsid w:val="00535CC8"/>
    <w:rsid w:val="005406CE"/>
    <w:rsid w:val="00541A3E"/>
    <w:rsid w:val="0054262D"/>
    <w:rsid w:val="00542895"/>
    <w:rsid w:val="0054296C"/>
    <w:rsid w:val="00543CA6"/>
    <w:rsid w:val="0054425B"/>
    <w:rsid w:val="00544754"/>
    <w:rsid w:val="0054568C"/>
    <w:rsid w:val="00546758"/>
    <w:rsid w:val="00552010"/>
    <w:rsid w:val="005556FD"/>
    <w:rsid w:val="00555A39"/>
    <w:rsid w:val="00560762"/>
    <w:rsid w:val="00561343"/>
    <w:rsid w:val="005617EC"/>
    <w:rsid w:val="00561EE7"/>
    <w:rsid w:val="00563677"/>
    <w:rsid w:val="00564892"/>
    <w:rsid w:val="0056705F"/>
    <w:rsid w:val="00567200"/>
    <w:rsid w:val="00567C76"/>
    <w:rsid w:val="005706BB"/>
    <w:rsid w:val="00570F75"/>
    <w:rsid w:val="00571903"/>
    <w:rsid w:val="00573CD5"/>
    <w:rsid w:val="00574DA2"/>
    <w:rsid w:val="00574F14"/>
    <w:rsid w:val="00577DCD"/>
    <w:rsid w:val="005808ED"/>
    <w:rsid w:val="00582305"/>
    <w:rsid w:val="00582A76"/>
    <w:rsid w:val="0058377A"/>
    <w:rsid w:val="00585287"/>
    <w:rsid w:val="0058653F"/>
    <w:rsid w:val="00586B4A"/>
    <w:rsid w:val="00590641"/>
    <w:rsid w:val="00592C12"/>
    <w:rsid w:val="00592D74"/>
    <w:rsid w:val="00592F05"/>
    <w:rsid w:val="00592FD5"/>
    <w:rsid w:val="005A0EF9"/>
    <w:rsid w:val="005A0F2F"/>
    <w:rsid w:val="005A2472"/>
    <w:rsid w:val="005A2DA4"/>
    <w:rsid w:val="005A3025"/>
    <w:rsid w:val="005A3C40"/>
    <w:rsid w:val="005A3FE2"/>
    <w:rsid w:val="005A53D7"/>
    <w:rsid w:val="005A5DF3"/>
    <w:rsid w:val="005A68E8"/>
    <w:rsid w:val="005A77C9"/>
    <w:rsid w:val="005A7EFD"/>
    <w:rsid w:val="005B0119"/>
    <w:rsid w:val="005B26A9"/>
    <w:rsid w:val="005B278E"/>
    <w:rsid w:val="005B2DFA"/>
    <w:rsid w:val="005B4FB5"/>
    <w:rsid w:val="005B681E"/>
    <w:rsid w:val="005B6BED"/>
    <w:rsid w:val="005B720D"/>
    <w:rsid w:val="005B7466"/>
    <w:rsid w:val="005B7801"/>
    <w:rsid w:val="005C0CA9"/>
    <w:rsid w:val="005C22D1"/>
    <w:rsid w:val="005C2BE7"/>
    <w:rsid w:val="005C2CD7"/>
    <w:rsid w:val="005C323D"/>
    <w:rsid w:val="005C32B2"/>
    <w:rsid w:val="005C32E3"/>
    <w:rsid w:val="005C51C8"/>
    <w:rsid w:val="005C7738"/>
    <w:rsid w:val="005D11C6"/>
    <w:rsid w:val="005D13B8"/>
    <w:rsid w:val="005D1ABB"/>
    <w:rsid w:val="005D321A"/>
    <w:rsid w:val="005D3270"/>
    <w:rsid w:val="005D39FA"/>
    <w:rsid w:val="005D3BAB"/>
    <w:rsid w:val="005D4A9D"/>
    <w:rsid w:val="005D5D01"/>
    <w:rsid w:val="005D5E16"/>
    <w:rsid w:val="005E0368"/>
    <w:rsid w:val="005E1CBD"/>
    <w:rsid w:val="005E2C44"/>
    <w:rsid w:val="005E40FD"/>
    <w:rsid w:val="005E59D3"/>
    <w:rsid w:val="005E5DF1"/>
    <w:rsid w:val="005E722E"/>
    <w:rsid w:val="005E7B74"/>
    <w:rsid w:val="005E7BB5"/>
    <w:rsid w:val="005E7F1C"/>
    <w:rsid w:val="005F075E"/>
    <w:rsid w:val="005F09E9"/>
    <w:rsid w:val="005F0F89"/>
    <w:rsid w:val="005F2DB0"/>
    <w:rsid w:val="005F3FDB"/>
    <w:rsid w:val="005F41B5"/>
    <w:rsid w:val="005F64D3"/>
    <w:rsid w:val="005F6B87"/>
    <w:rsid w:val="005F7409"/>
    <w:rsid w:val="00600F4A"/>
    <w:rsid w:val="00601258"/>
    <w:rsid w:val="00604CB1"/>
    <w:rsid w:val="006070A3"/>
    <w:rsid w:val="0060725A"/>
    <w:rsid w:val="00610E8C"/>
    <w:rsid w:val="006110A6"/>
    <w:rsid w:val="006121FB"/>
    <w:rsid w:val="00613F22"/>
    <w:rsid w:val="00614500"/>
    <w:rsid w:val="00614CBE"/>
    <w:rsid w:val="00614DFE"/>
    <w:rsid w:val="006153A5"/>
    <w:rsid w:val="00617378"/>
    <w:rsid w:val="00617EDA"/>
    <w:rsid w:val="00621188"/>
    <w:rsid w:val="00621B23"/>
    <w:rsid w:val="00622EAC"/>
    <w:rsid w:val="0062353E"/>
    <w:rsid w:val="00623689"/>
    <w:rsid w:val="006257ED"/>
    <w:rsid w:val="00625E86"/>
    <w:rsid w:val="0062686C"/>
    <w:rsid w:val="00626BE2"/>
    <w:rsid w:val="00630252"/>
    <w:rsid w:val="006310BA"/>
    <w:rsid w:val="00632011"/>
    <w:rsid w:val="00632DA7"/>
    <w:rsid w:val="00632EC5"/>
    <w:rsid w:val="006356DC"/>
    <w:rsid w:val="00635DC0"/>
    <w:rsid w:val="00636102"/>
    <w:rsid w:val="006376A7"/>
    <w:rsid w:val="00640EF8"/>
    <w:rsid w:val="0064148E"/>
    <w:rsid w:val="006435A4"/>
    <w:rsid w:val="00643BF5"/>
    <w:rsid w:val="006447B5"/>
    <w:rsid w:val="00644EE7"/>
    <w:rsid w:val="00644EEF"/>
    <w:rsid w:val="00646160"/>
    <w:rsid w:val="00646173"/>
    <w:rsid w:val="0064621C"/>
    <w:rsid w:val="00646953"/>
    <w:rsid w:val="006506BC"/>
    <w:rsid w:val="00651468"/>
    <w:rsid w:val="006521F9"/>
    <w:rsid w:val="00652C76"/>
    <w:rsid w:val="006537BB"/>
    <w:rsid w:val="006547D3"/>
    <w:rsid w:val="00655AB2"/>
    <w:rsid w:val="00655CCE"/>
    <w:rsid w:val="006564AF"/>
    <w:rsid w:val="0065701E"/>
    <w:rsid w:val="00657262"/>
    <w:rsid w:val="0065728E"/>
    <w:rsid w:val="006615BA"/>
    <w:rsid w:val="0066274F"/>
    <w:rsid w:val="0066363B"/>
    <w:rsid w:val="00663866"/>
    <w:rsid w:val="0066489E"/>
    <w:rsid w:val="00670809"/>
    <w:rsid w:val="00671E92"/>
    <w:rsid w:val="00671EDA"/>
    <w:rsid w:val="00673642"/>
    <w:rsid w:val="00673CF8"/>
    <w:rsid w:val="00674189"/>
    <w:rsid w:val="006748A8"/>
    <w:rsid w:val="00674C7A"/>
    <w:rsid w:val="00676C44"/>
    <w:rsid w:val="006774A1"/>
    <w:rsid w:val="006777B1"/>
    <w:rsid w:val="006805EE"/>
    <w:rsid w:val="00682E9B"/>
    <w:rsid w:val="006833B7"/>
    <w:rsid w:val="0068382A"/>
    <w:rsid w:val="00684806"/>
    <w:rsid w:val="00684888"/>
    <w:rsid w:val="00685753"/>
    <w:rsid w:val="00687A3D"/>
    <w:rsid w:val="0069089B"/>
    <w:rsid w:val="00691B75"/>
    <w:rsid w:val="00693A19"/>
    <w:rsid w:val="00694603"/>
    <w:rsid w:val="00695808"/>
    <w:rsid w:val="006959B8"/>
    <w:rsid w:val="00697435"/>
    <w:rsid w:val="006A1B42"/>
    <w:rsid w:val="006A2898"/>
    <w:rsid w:val="006A322F"/>
    <w:rsid w:val="006A38E9"/>
    <w:rsid w:val="006A4CE0"/>
    <w:rsid w:val="006A764E"/>
    <w:rsid w:val="006A79BF"/>
    <w:rsid w:val="006B0C44"/>
    <w:rsid w:val="006B18A8"/>
    <w:rsid w:val="006B44DF"/>
    <w:rsid w:val="006B46FB"/>
    <w:rsid w:val="006B4831"/>
    <w:rsid w:val="006B5C13"/>
    <w:rsid w:val="006B5C1B"/>
    <w:rsid w:val="006B7D3B"/>
    <w:rsid w:val="006C0A09"/>
    <w:rsid w:val="006C198E"/>
    <w:rsid w:val="006C1E3C"/>
    <w:rsid w:val="006C3F12"/>
    <w:rsid w:val="006C4B88"/>
    <w:rsid w:val="006C78CE"/>
    <w:rsid w:val="006D1E8B"/>
    <w:rsid w:val="006D4A94"/>
    <w:rsid w:val="006D4B82"/>
    <w:rsid w:val="006D604D"/>
    <w:rsid w:val="006D659B"/>
    <w:rsid w:val="006D6CCB"/>
    <w:rsid w:val="006E21FB"/>
    <w:rsid w:val="006E6B48"/>
    <w:rsid w:val="006E7D32"/>
    <w:rsid w:val="006E7E6B"/>
    <w:rsid w:val="006F0449"/>
    <w:rsid w:val="006F141E"/>
    <w:rsid w:val="006F1A20"/>
    <w:rsid w:val="006F2462"/>
    <w:rsid w:val="006F2749"/>
    <w:rsid w:val="006F289C"/>
    <w:rsid w:val="006F7177"/>
    <w:rsid w:val="007006BE"/>
    <w:rsid w:val="00700700"/>
    <w:rsid w:val="007008D4"/>
    <w:rsid w:val="0070329C"/>
    <w:rsid w:val="0070366C"/>
    <w:rsid w:val="00705F37"/>
    <w:rsid w:val="007072CB"/>
    <w:rsid w:val="00711115"/>
    <w:rsid w:val="007126EC"/>
    <w:rsid w:val="00713894"/>
    <w:rsid w:val="007145AD"/>
    <w:rsid w:val="00717C1D"/>
    <w:rsid w:val="0072000C"/>
    <w:rsid w:val="007225A5"/>
    <w:rsid w:val="00722D5E"/>
    <w:rsid w:val="007240AD"/>
    <w:rsid w:val="00724565"/>
    <w:rsid w:val="00726E41"/>
    <w:rsid w:val="0072789A"/>
    <w:rsid w:val="00731ED2"/>
    <w:rsid w:val="00736958"/>
    <w:rsid w:val="0074057C"/>
    <w:rsid w:val="00740715"/>
    <w:rsid w:val="007418F2"/>
    <w:rsid w:val="00742E09"/>
    <w:rsid w:val="007432F9"/>
    <w:rsid w:val="0074379F"/>
    <w:rsid w:val="0074490B"/>
    <w:rsid w:val="00744A0C"/>
    <w:rsid w:val="00745FCC"/>
    <w:rsid w:val="00746CF7"/>
    <w:rsid w:val="0075087A"/>
    <w:rsid w:val="00751327"/>
    <w:rsid w:val="0075396D"/>
    <w:rsid w:val="00753C53"/>
    <w:rsid w:val="007542C2"/>
    <w:rsid w:val="00755F7D"/>
    <w:rsid w:val="00757BD5"/>
    <w:rsid w:val="00757D95"/>
    <w:rsid w:val="00757FFB"/>
    <w:rsid w:val="00761C23"/>
    <w:rsid w:val="00762070"/>
    <w:rsid w:val="0076255C"/>
    <w:rsid w:val="00762ACA"/>
    <w:rsid w:val="0076450A"/>
    <w:rsid w:val="007647C3"/>
    <w:rsid w:val="00764817"/>
    <w:rsid w:val="00764C5D"/>
    <w:rsid w:val="00764F0A"/>
    <w:rsid w:val="007652DA"/>
    <w:rsid w:val="00765481"/>
    <w:rsid w:val="007707E4"/>
    <w:rsid w:val="00772099"/>
    <w:rsid w:val="0077305B"/>
    <w:rsid w:val="0077554F"/>
    <w:rsid w:val="00777E6A"/>
    <w:rsid w:val="00780BEB"/>
    <w:rsid w:val="00780FD2"/>
    <w:rsid w:val="00782071"/>
    <w:rsid w:val="0078268C"/>
    <w:rsid w:val="007826E1"/>
    <w:rsid w:val="00786D51"/>
    <w:rsid w:val="007900DA"/>
    <w:rsid w:val="00791A20"/>
    <w:rsid w:val="00792342"/>
    <w:rsid w:val="00793241"/>
    <w:rsid w:val="007932B2"/>
    <w:rsid w:val="00794678"/>
    <w:rsid w:val="00795855"/>
    <w:rsid w:val="007966A0"/>
    <w:rsid w:val="00796B25"/>
    <w:rsid w:val="00796B84"/>
    <w:rsid w:val="00796CEB"/>
    <w:rsid w:val="0079719C"/>
    <w:rsid w:val="007A0C14"/>
    <w:rsid w:val="007A4B58"/>
    <w:rsid w:val="007A4E53"/>
    <w:rsid w:val="007A592E"/>
    <w:rsid w:val="007A5BB0"/>
    <w:rsid w:val="007A64A1"/>
    <w:rsid w:val="007A68DD"/>
    <w:rsid w:val="007B0550"/>
    <w:rsid w:val="007B07CD"/>
    <w:rsid w:val="007B0A00"/>
    <w:rsid w:val="007B31A8"/>
    <w:rsid w:val="007B512A"/>
    <w:rsid w:val="007B54CE"/>
    <w:rsid w:val="007B5D2F"/>
    <w:rsid w:val="007B5D9A"/>
    <w:rsid w:val="007B7228"/>
    <w:rsid w:val="007B7965"/>
    <w:rsid w:val="007C116B"/>
    <w:rsid w:val="007C1F7F"/>
    <w:rsid w:val="007C2097"/>
    <w:rsid w:val="007C3A5E"/>
    <w:rsid w:val="007C4FF7"/>
    <w:rsid w:val="007C65F0"/>
    <w:rsid w:val="007C6D4E"/>
    <w:rsid w:val="007D0210"/>
    <w:rsid w:val="007D1119"/>
    <w:rsid w:val="007D187E"/>
    <w:rsid w:val="007D3834"/>
    <w:rsid w:val="007D44E4"/>
    <w:rsid w:val="007D48DB"/>
    <w:rsid w:val="007D5910"/>
    <w:rsid w:val="007D6A07"/>
    <w:rsid w:val="007E0032"/>
    <w:rsid w:val="007E02A8"/>
    <w:rsid w:val="007E23FD"/>
    <w:rsid w:val="007E28AD"/>
    <w:rsid w:val="007E495F"/>
    <w:rsid w:val="007E4B63"/>
    <w:rsid w:val="007E5F93"/>
    <w:rsid w:val="007E6154"/>
    <w:rsid w:val="007F0928"/>
    <w:rsid w:val="007F243F"/>
    <w:rsid w:val="007F3E5F"/>
    <w:rsid w:val="007F53B4"/>
    <w:rsid w:val="007F55D0"/>
    <w:rsid w:val="007F5DDB"/>
    <w:rsid w:val="007F5FC3"/>
    <w:rsid w:val="007F699F"/>
    <w:rsid w:val="007F7A67"/>
    <w:rsid w:val="007F7C0E"/>
    <w:rsid w:val="008019A2"/>
    <w:rsid w:val="00803EBB"/>
    <w:rsid w:val="00805B62"/>
    <w:rsid w:val="00806457"/>
    <w:rsid w:val="00806497"/>
    <w:rsid w:val="00806B40"/>
    <w:rsid w:val="0080761E"/>
    <w:rsid w:val="00811BFB"/>
    <w:rsid w:val="00811DC4"/>
    <w:rsid w:val="0081406F"/>
    <w:rsid w:val="008172D9"/>
    <w:rsid w:val="00817C21"/>
    <w:rsid w:val="008209AD"/>
    <w:rsid w:val="00822E07"/>
    <w:rsid w:val="00822F09"/>
    <w:rsid w:val="0082339D"/>
    <w:rsid w:val="008238AF"/>
    <w:rsid w:val="00823932"/>
    <w:rsid w:val="00824389"/>
    <w:rsid w:val="0082450E"/>
    <w:rsid w:val="008253DA"/>
    <w:rsid w:val="00826F3F"/>
    <w:rsid w:val="008279FA"/>
    <w:rsid w:val="008304AA"/>
    <w:rsid w:val="00830948"/>
    <w:rsid w:val="00830AE0"/>
    <w:rsid w:val="00830BBD"/>
    <w:rsid w:val="00831C24"/>
    <w:rsid w:val="008328B5"/>
    <w:rsid w:val="00832DF7"/>
    <w:rsid w:val="00833768"/>
    <w:rsid w:val="008348FE"/>
    <w:rsid w:val="00835128"/>
    <w:rsid w:val="008356E2"/>
    <w:rsid w:val="00837935"/>
    <w:rsid w:val="00837FB7"/>
    <w:rsid w:val="0084085B"/>
    <w:rsid w:val="00840E4A"/>
    <w:rsid w:val="008412C3"/>
    <w:rsid w:val="00842301"/>
    <w:rsid w:val="00842974"/>
    <w:rsid w:val="008454D9"/>
    <w:rsid w:val="00845D84"/>
    <w:rsid w:val="008465CD"/>
    <w:rsid w:val="0084685B"/>
    <w:rsid w:val="008477A7"/>
    <w:rsid w:val="00851955"/>
    <w:rsid w:val="00851FF5"/>
    <w:rsid w:val="00852864"/>
    <w:rsid w:val="00852D54"/>
    <w:rsid w:val="00852DCE"/>
    <w:rsid w:val="00853184"/>
    <w:rsid w:val="00853EC7"/>
    <w:rsid w:val="008601CD"/>
    <w:rsid w:val="008615A4"/>
    <w:rsid w:val="00861C39"/>
    <w:rsid w:val="008621B8"/>
    <w:rsid w:val="008624F5"/>
    <w:rsid w:val="008626E7"/>
    <w:rsid w:val="00866B90"/>
    <w:rsid w:val="00866FCE"/>
    <w:rsid w:val="0087018F"/>
    <w:rsid w:val="00870EE7"/>
    <w:rsid w:val="008721BC"/>
    <w:rsid w:val="0087568A"/>
    <w:rsid w:val="00880A46"/>
    <w:rsid w:val="00880E99"/>
    <w:rsid w:val="008821BD"/>
    <w:rsid w:val="00882551"/>
    <w:rsid w:val="00882D17"/>
    <w:rsid w:val="008833EE"/>
    <w:rsid w:val="00883C00"/>
    <w:rsid w:val="008861DC"/>
    <w:rsid w:val="008865D0"/>
    <w:rsid w:val="00886AC2"/>
    <w:rsid w:val="00887BAF"/>
    <w:rsid w:val="008911F2"/>
    <w:rsid w:val="00892102"/>
    <w:rsid w:val="008929EF"/>
    <w:rsid w:val="00894A32"/>
    <w:rsid w:val="0089594D"/>
    <w:rsid w:val="0089611E"/>
    <w:rsid w:val="008A1663"/>
    <w:rsid w:val="008A352E"/>
    <w:rsid w:val="008A3B4B"/>
    <w:rsid w:val="008A486A"/>
    <w:rsid w:val="008A655D"/>
    <w:rsid w:val="008B25DE"/>
    <w:rsid w:val="008B3DDD"/>
    <w:rsid w:val="008B6D7B"/>
    <w:rsid w:val="008C5C0D"/>
    <w:rsid w:val="008C5F09"/>
    <w:rsid w:val="008D0BC2"/>
    <w:rsid w:val="008D0D2F"/>
    <w:rsid w:val="008D4119"/>
    <w:rsid w:val="008D506B"/>
    <w:rsid w:val="008D7AD5"/>
    <w:rsid w:val="008E12C9"/>
    <w:rsid w:val="008E262D"/>
    <w:rsid w:val="008E2FA4"/>
    <w:rsid w:val="008E3D39"/>
    <w:rsid w:val="008E3F70"/>
    <w:rsid w:val="008E4D58"/>
    <w:rsid w:val="008E6427"/>
    <w:rsid w:val="008F1103"/>
    <w:rsid w:val="008F3F40"/>
    <w:rsid w:val="008F5BB5"/>
    <w:rsid w:val="008F686C"/>
    <w:rsid w:val="008F72AF"/>
    <w:rsid w:val="008F72B9"/>
    <w:rsid w:val="00900DB5"/>
    <w:rsid w:val="00901F83"/>
    <w:rsid w:val="009030EE"/>
    <w:rsid w:val="0090481A"/>
    <w:rsid w:val="00904889"/>
    <w:rsid w:val="009061A9"/>
    <w:rsid w:val="00906F84"/>
    <w:rsid w:val="0091095E"/>
    <w:rsid w:val="009130CE"/>
    <w:rsid w:val="00913A19"/>
    <w:rsid w:val="00914673"/>
    <w:rsid w:val="009146DF"/>
    <w:rsid w:val="009150E3"/>
    <w:rsid w:val="00915978"/>
    <w:rsid w:val="009209A0"/>
    <w:rsid w:val="009222A5"/>
    <w:rsid w:val="00925430"/>
    <w:rsid w:val="00925523"/>
    <w:rsid w:val="00926721"/>
    <w:rsid w:val="00926727"/>
    <w:rsid w:val="00927299"/>
    <w:rsid w:val="009337EF"/>
    <w:rsid w:val="0093454C"/>
    <w:rsid w:val="009367F6"/>
    <w:rsid w:val="00940FD1"/>
    <w:rsid w:val="009415A0"/>
    <w:rsid w:val="00942116"/>
    <w:rsid w:val="009429AD"/>
    <w:rsid w:val="00942F69"/>
    <w:rsid w:val="00943A3D"/>
    <w:rsid w:val="009454D8"/>
    <w:rsid w:val="00945547"/>
    <w:rsid w:val="009505C2"/>
    <w:rsid w:val="00950F33"/>
    <w:rsid w:val="00951209"/>
    <w:rsid w:val="00951FC0"/>
    <w:rsid w:val="00953688"/>
    <w:rsid w:val="00955E2A"/>
    <w:rsid w:val="0095697D"/>
    <w:rsid w:val="00956D07"/>
    <w:rsid w:val="009576A1"/>
    <w:rsid w:val="009577D0"/>
    <w:rsid w:val="009605ED"/>
    <w:rsid w:val="0096118F"/>
    <w:rsid w:val="00961694"/>
    <w:rsid w:val="00962E7F"/>
    <w:rsid w:val="00970799"/>
    <w:rsid w:val="00972211"/>
    <w:rsid w:val="009729E7"/>
    <w:rsid w:val="00972B73"/>
    <w:rsid w:val="00973B00"/>
    <w:rsid w:val="00974410"/>
    <w:rsid w:val="009759FE"/>
    <w:rsid w:val="00976248"/>
    <w:rsid w:val="009774D5"/>
    <w:rsid w:val="009777D9"/>
    <w:rsid w:val="009808E7"/>
    <w:rsid w:val="00981273"/>
    <w:rsid w:val="00984FA5"/>
    <w:rsid w:val="009855F1"/>
    <w:rsid w:val="00991B88"/>
    <w:rsid w:val="0099214A"/>
    <w:rsid w:val="009925DF"/>
    <w:rsid w:val="00993705"/>
    <w:rsid w:val="00994AD2"/>
    <w:rsid w:val="00994D45"/>
    <w:rsid w:val="00997C23"/>
    <w:rsid w:val="009A1CBE"/>
    <w:rsid w:val="009A3EB3"/>
    <w:rsid w:val="009A47A1"/>
    <w:rsid w:val="009A4DF2"/>
    <w:rsid w:val="009A579D"/>
    <w:rsid w:val="009A63AF"/>
    <w:rsid w:val="009B042B"/>
    <w:rsid w:val="009B13D1"/>
    <w:rsid w:val="009B2114"/>
    <w:rsid w:val="009B2328"/>
    <w:rsid w:val="009B254E"/>
    <w:rsid w:val="009B38A9"/>
    <w:rsid w:val="009B3E3B"/>
    <w:rsid w:val="009B40FA"/>
    <w:rsid w:val="009B4CA2"/>
    <w:rsid w:val="009B5D1F"/>
    <w:rsid w:val="009B73FC"/>
    <w:rsid w:val="009C0879"/>
    <w:rsid w:val="009C0FD5"/>
    <w:rsid w:val="009C1841"/>
    <w:rsid w:val="009C2038"/>
    <w:rsid w:val="009C270E"/>
    <w:rsid w:val="009C3392"/>
    <w:rsid w:val="009C389A"/>
    <w:rsid w:val="009C43CD"/>
    <w:rsid w:val="009C74BC"/>
    <w:rsid w:val="009C7714"/>
    <w:rsid w:val="009D07CF"/>
    <w:rsid w:val="009D105C"/>
    <w:rsid w:val="009D2D27"/>
    <w:rsid w:val="009D3B0A"/>
    <w:rsid w:val="009D5622"/>
    <w:rsid w:val="009D62DC"/>
    <w:rsid w:val="009D693E"/>
    <w:rsid w:val="009E0A77"/>
    <w:rsid w:val="009E0D4D"/>
    <w:rsid w:val="009E126E"/>
    <w:rsid w:val="009E3297"/>
    <w:rsid w:val="009E386A"/>
    <w:rsid w:val="009E5B0B"/>
    <w:rsid w:val="009E790A"/>
    <w:rsid w:val="009F1D8D"/>
    <w:rsid w:val="009F2F76"/>
    <w:rsid w:val="009F3103"/>
    <w:rsid w:val="009F33BF"/>
    <w:rsid w:val="009F734F"/>
    <w:rsid w:val="009F7977"/>
    <w:rsid w:val="009F7BA0"/>
    <w:rsid w:val="00A0015A"/>
    <w:rsid w:val="00A00C97"/>
    <w:rsid w:val="00A0107D"/>
    <w:rsid w:val="00A01626"/>
    <w:rsid w:val="00A02342"/>
    <w:rsid w:val="00A03C51"/>
    <w:rsid w:val="00A04049"/>
    <w:rsid w:val="00A07259"/>
    <w:rsid w:val="00A10EBC"/>
    <w:rsid w:val="00A10F2D"/>
    <w:rsid w:val="00A11A4F"/>
    <w:rsid w:val="00A13EC0"/>
    <w:rsid w:val="00A15F48"/>
    <w:rsid w:val="00A163D0"/>
    <w:rsid w:val="00A1667C"/>
    <w:rsid w:val="00A16B8A"/>
    <w:rsid w:val="00A20C67"/>
    <w:rsid w:val="00A229A2"/>
    <w:rsid w:val="00A22BCD"/>
    <w:rsid w:val="00A22E77"/>
    <w:rsid w:val="00A239AE"/>
    <w:rsid w:val="00A23FB2"/>
    <w:rsid w:val="00A246B6"/>
    <w:rsid w:val="00A24841"/>
    <w:rsid w:val="00A25199"/>
    <w:rsid w:val="00A25B00"/>
    <w:rsid w:val="00A25C73"/>
    <w:rsid w:val="00A26861"/>
    <w:rsid w:val="00A27909"/>
    <w:rsid w:val="00A30417"/>
    <w:rsid w:val="00A31FD6"/>
    <w:rsid w:val="00A3608F"/>
    <w:rsid w:val="00A409DE"/>
    <w:rsid w:val="00A40B6E"/>
    <w:rsid w:val="00A4242D"/>
    <w:rsid w:val="00A42497"/>
    <w:rsid w:val="00A4303B"/>
    <w:rsid w:val="00A4365C"/>
    <w:rsid w:val="00A43864"/>
    <w:rsid w:val="00A43A11"/>
    <w:rsid w:val="00A45979"/>
    <w:rsid w:val="00A45A04"/>
    <w:rsid w:val="00A46ECC"/>
    <w:rsid w:val="00A475E3"/>
    <w:rsid w:val="00A47B9F"/>
    <w:rsid w:val="00A47E70"/>
    <w:rsid w:val="00A47EB2"/>
    <w:rsid w:val="00A5072C"/>
    <w:rsid w:val="00A50E66"/>
    <w:rsid w:val="00A53889"/>
    <w:rsid w:val="00A554E5"/>
    <w:rsid w:val="00A554F8"/>
    <w:rsid w:val="00A6038C"/>
    <w:rsid w:val="00A616A6"/>
    <w:rsid w:val="00A61DBD"/>
    <w:rsid w:val="00A625C6"/>
    <w:rsid w:val="00A62FB4"/>
    <w:rsid w:val="00A639A6"/>
    <w:rsid w:val="00A63DC1"/>
    <w:rsid w:val="00A6543E"/>
    <w:rsid w:val="00A65F06"/>
    <w:rsid w:val="00A6797C"/>
    <w:rsid w:val="00A7113E"/>
    <w:rsid w:val="00A7132F"/>
    <w:rsid w:val="00A754C4"/>
    <w:rsid w:val="00A7635B"/>
    <w:rsid w:val="00A7671C"/>
    <w:rsid w:val="00A80D71"/>
    <w:rsid w:val="00A80DC0"/>
    <w:rsid w:val="00A8286E"/>
    <w:rsid w:val="00A837AD"/>
    <w:rsid w:val="00A85053"/>
    <w:rsid w:val="00A868CA"/>
    <w:rsid w:val="00A87511"/>
    <w:rsid w:val="00A9127F"/>
    <w:rsid w:val="00A91597"/>
    <w:rsid w:val="00A942D9"/>
    <w:rsid w:val="00A94C53"/>
    <w:rsid w:val="00A960F0"/>
    <w:rsid w:val="00AA05DD"/>
    <w:rsid w:val="00AA06DA"/>
    <w:rsid w:val="00AA3802"/>
    <w:rsid w:val="00AA49DC"/>
    <w:rsid w:val="00AA4E2D"/>
    <w:rsid w:val="00AA52F4"/>
    <w:rsid w:val="00AB1A10"/>
    <w:rsid w:val="00AB1A9C"/>
    <w:rsid w:val="00AB36D6"/>
    <w:rsid w:val="00AB4A36"/>
    <w:rsid w:val="00AB4DA8"/>
    <w:rsid w:val="00AB542E"/>
    <w:rsid w:val="00AB5A0D"/>
    <w:rsid w:val="00AB6BBA"/>
    <w:rsid w:val="00AB6BCB"/>
    <w:rsid w:val="00AB7FF9"/>
    <w:rsid w:val="00AC01B9"/>
    <w:rsid w:val="00AC0B55"/>
    <w:rsid w:val="00AC0FFD"/>
    <w:rsid w:val="00AC118F"/>
    <w:rsid w:val="00AC4ACD"/>
    <w:rsid w:val="00AC4DD2"/>
    <w:rsid w:val="00AC6798"/>
    <w:rsid w:val="00AC7839"/>
    <w:rsid w:val="00AD00D1"/>
    <w:rsid w:val="00AD0C4B"/>
    <w:rsid w:val="00AD1CD8"/>
    <w:rsid w:val="00AD272E"/>
    <w:rsid w:val="00AD2E12"/>
    <w:rsid w:val="00AD3F2B"/>
    <w:rsid w:val="00AD4007"/>
    <w:rsid w:val="00AD4043"/>
    <w:rsid w:val="00AD44C1"/>
    <w:rsid w:val="00AD4621"/>
    <w:rsid w:val="00AD4C07"/>
    <w:rsid w:val="00AD629A"/>
    <w:rsid w:val="00AD70DC"/>
    <w:rsid w:val="00AE00DC"/>
    <w:rsid w:val="00AE17A6"/>
    <w:rsid w:val="00AE1B79"/>
    <w:rsid w:val="00AE47EB"/>
    <w:rsid w:val="00AE4D09"/>
    <w:rsid w:val="00AE541A"/>
    <w:rsid w:val="00AF17B9"/>
    <w:rsid w:val="00AF3CFF"/>
    <w:rsid w:val="00AF4E2A"/>
    <w:rsid w:val="00B0268C"/>
    <w:rsid w:val="00B029EA"/>
    <w:rsid w:val="00B048A7"/>
    <w:rsid w:val="00B06957"/>
    <w:rsid w:val="00B06FC7"/>
    <w:rsid w:val="00B07062"/>
    <w:rsid w:val="00B10062"/>
    <w:rsid w:val="00B11234"/>
    <w:rsid w:val="00B11383"/>
    <w:rsid w:val="00B11A03"/>
    <w:rsid w:val="00B12317"/>
    <w:rsid w:val="00B1242D"/>
    <w:rsid w:val="00B126AE"/>
    <w:rsid w:val="00B131F6"/>
    <w:rsid w:val="00B14DE8"/>
    <w:rsid w:val="00B152AB"/>
    <w:rsid w:val="00B15F7D"/>
    <w:rsid w:val="00B16521"/>
    <w:rsid w:val="00B21817"/>
    <w:rsid w:val="00B22880"/>
    <w:rsid w:val="00B258BB"/>
    <w:rsid w:val="00B25E69"/>
    <w:rsid w:val="00B26697"/>
    <w:rsid w:val="00B27676"/>
    <w:rsid w:val="00B30E01"/>
    <w:rsid w:val="00B335D5"/>
    <w:rsid w:val="00B34408"/>
    <w:rsid w:val="00B351A2"/>
    <w:rsid w:val="00B36F1A"/>
    <w:rsid w:val="00B4253D"/>
    <w:rsid w:val="00B43544"/>
    <w:rsid w:val="00B43F27"/>
    <w:rsid w:val="00B45EB1"/>
    <w:rsid w:val="00B46CB3"/>
    <w:rsid w:val="00B47357"/>
    <w:rsid w:val="00B50455"/>
    <w:rsid w:val="00B5083A"/>
    <w:rsid w:val="00B50B9C"/>
    <w:rsid w:val="00B50BA4"/>
    <w:rsid w:val="00B51963"/>
    <w:rsid w:val="00B52347"/>
    <w:rsid w:val="00B53518"/>
    <w:rsid w:val="00B55552"/>
    <w:rsid w:val="00B556BC"/>
    <w:rsid w:val="00B55A7D"/>
    <w:rsid w:val="00B62820"/>
    <w:rsid w:val="00B62CD7"/>
    <w:rsid w:val="00B64183"/>
    <w:rsid w:val="00B65252"/>
    <w:rsid w:val="00B656D3"/>
    <w:rsid w:val="00B66137"/>
    <w:rsid w:val="00B67B97"/>
    <w:rsid w:val="00B708D3"/>
    <w:rsid w:val="00B710C9"/>
    <w:rsid w:val="00B754AC"/>
    <w:rsid w:val="00B77BB7"/>
    <w:rsid w:val="00B77C17"/>
    <w:rsid w:val="00B800A3"/>
    <w:rsid w:val="00B814D0"/>
    <w:rsid w:val="00B864F9"/>
    <w:rsid w:val="00B86799"/>
    <w:rsid w:val="00B87CED"/>
    <w:rsid w:val="00B90D95"/>
    <w:rsid w:val="00B91F2F"/>
    <w:rsid w:val="00B926E3"/>
    <w:rsid w:val="00B93336"/>
    <w:rsid w:val="00B966F2"/>
    <w:rsid w:val="00B968C8"/>
    <w:rsid w:val="00B9694F"/>
    <w:rsid w:val="00BA032D"/>
    <w:rsid w:val="00BA15CF"/>
    <w:rsid w:val="00BA2AD4"/>
    <w:rsid w:val="00BA3EC5"/>
    <w:rsid w:val="00BA47BC"/>
    <w:rsid w:val="00BA47DD"/>
    <w:rsid w:val="00BA6AC8"/>
    <w:rsid w:val="00BA6D82"/>
    <w:rsid w:val="00BA7DBA"/>
    <w:rsid w:val="00BA7E32"/>
    <w:rsid w:val="00BB2EAF"/>
    <w:rsid w:val="00BB3A04"/>
    <w:rsid w:val="00BB3D48"/>
    <w:rsid w:val="00BB3E4E"/>
    <w:rsid w:val="00BB537C"/>
    <w:rsid w:val="00BB5395"/>
    <w:rsid w:val="00BB5DFC"/>
    <w:rsid w:val="00BB6B21"/>
    <w:rsid w:val="00BB77A9"/>
    <w:rsid w:val="00BB7E5B"/>
    <w:rsid w:val="00BC1611"/>
    <w:rsid w:val="00BC1CFA"/>
    <w:rsid w:val="00BC21AE"/>
    <w:rsid w:val="00BC397D"/>
    <w:rsid w:val="00BC3EDF"/>
    <w:rsid w:val="00BC4B38"/>
    <w:rsid w:val="00BC4DA3"/>
    <w:rsid w:val="00BC5DAE"/>
    <w:rsid w:val="00BC6D71"/>
    <w:rsid w:val="00BD0C12"/>
    <w:rsid w:val="00BD1F0C"/>
    <w:rsid w:val="00BD279D"/>
    <w:rsid w:val="00BD2E4F"/>
    <w:rsid w:val="00BD4ECA"/>
    <w:rsid w:val="00BD52E0"/>
    <w:rsid w:val="00BD58C7"/>
    <w:rsid w:val="00BD6BB8"/>
    <w:rsid w:val="00BD70DE"/>
    <w:rsid w:val="00BD7CEF"/>
    <w:rsid w:val="00BE1B13"/>
    <w:rsid w:val="00BE1C86"/>
    <w:rsid w:val="00BE1F03"/>
    <w:rsid w:val="00BE1F43"/>
    <w:rsid w:val="00BE3E9C"/>
    <w:rsid w:val="00BE6459"/>
    <w:rsid w:val="00BE78C2"/>
    <w:rsid w:val="00BF0844"/>
    <w:rsid w:val="00BF09AF"/>
    <w:rsid w:val="00BF0A1C"/>
    <w:rsid w:val="00BF5EC3"/>
    <w:rsid w:val="00BF5F65"/>
    <w:rsid w:val="00BF63BB"/>
    <w:rsid w:val="00BF64C0"/>
    <w:rsid w:val="00C03368"/>
    <w:rsid w:val="00C04210"/>
    <w:rsid w:val="00C04470"/>
    <w:rsid w:val="00C04D95"/>
    <w:rsid w:val="00C0520E"/>
    <w:rsid w:val="00C05CBB"/>
    <w:rsid w:val="00C05FC7"/>
    <w:rsid w:val="00C066A6"/>
    <w:rsid w:val="00C0723D"/>
    <w:rsid w:val="00C11934"/>
    <w:rsid w:val="00C11A01"/>
    <w:rsid w:val="00C16F34"/>
    <w:rsid w:val="00C1721A"/>
    <w:rsid w:val="00C2082D"/>
    <w:rsid w:val="00C228AD"/>
    <w:rsid w:val="00C22A16"/>
    <w:rsid w:val="00C22D04"/>
    <w:rsid w:val="00C2335C"/>
    <w:rsid w:val="00C23641"/>
    <w:rsid w:val="00C24407"/>
    <w:rsid w:val="00C24A33"/>
    <w:rsid w:val="00C24B84"/>
    <w:rsid w:val="00C25563"/>
    <w:rsid w:val="00C25CE5"/>
    <w:rsid w:val="00C26411"/>
    <w:rsid w:val="00C27693"/>
    <w:rsid w:val="00C30CC2"/>
    <w:rsid w:val="00C31949"/>
    <w:rsid w:val="00C32EE7"/>
    <w:rsid w:val="00C34649"/>
    <w:rsid w:val="00C35C35"/>
    <w:rsid w:val="00C36E9C"/>
    <w:rsid w:val="00C40600"/>
    <w:rsid w:val="00C41B64"/>
    <w:rsid w:val="00C4205C"/>
    <w:rsid w:val="00C420EF"/>
    <w:rsid w:val="00C426E9"/>
    <w:rsid w:val="00C44402"/>
    <w:rsid w:val="00C467D2"/>
    <w:rsid w:val="00C46C5D"/>
    <w:rsid w:val="00C50D31"/>
    <w:rsid w:val="00C51CEF"/>
    <w:rsid w:val="00C534DD"/>
    <w:rsid w:val="00C54215"/>
    <w:rsid w:val="00C550F4"/>
    <w:rsid w:val="00C564CA"/>
    <w:rsid w:val="00C570C3"/>
    <w:rsid w:val="00C57391"/>
    <w:rsid w:val="00C57882"/>
    <w:rsid w:val="00C60F39"/>
    <w:rsid w:val="00C618EF"/>
    <w:rsid w:val="00C62089"/>
    <w:rsid w:val="00C624D6"/>
    <w:rsid w:val="00C627F3"/>
    <w:rsid w:val="00C647EE"/>
    <w:rsid w:val="00C66DFB"/>
    <w:rsid w:val="00C708FE"/>
    <w:rsid w:val="00C7270F"/>
    <w:rsid w:val="00C73A79"/>
    <w:rsid w:val="00C73F9B"/>
    <w:rsid w:val="00C73FE7"/>
    <w:rsid w:val="00C758F8"/>
    <w:rsid w:val="00C758F9"/>
    <w:rsid w:val="00C77937"/>
    <w:rsid w:val="00C809F0"/>
    <w:rsid w:val="00C80B69"/>
    <w:rsid w:val="00C80F3E"/>
    <w:rsid w:val="00C8101A"/>
    <w:rsid w:val="00C820BD"/>
    <w:rsid w:val="00C82A9C"/>
    <w:rsid w:val="00C833B1"/>
    <w:rsid w:val="00C83763"/>
    <w:rsid w:val="00C8467F"/>
    <w:rsid w:val="00C8485F"/>
    <w:rsid w:val="00C8535E"/>
    <w:rsid w:val="00C85F02"/>
    <w:rsid w:val="00C907BC"/>
    <w:rsid w:val="00C9109D"/>
    <w:rsid w:val="00C913F3"/>
    <w:rsid w:val="00C914D4"/>
    <w:rsid w:val="00C936F5"/>
    <w:rsid w:val="00C941E5"/>
    <w:rsid w:val="00C95985"/>
    <w:rsid w:val="00C96B71"/>
    <w:rsid w:val="00C97BA5"/>
    <w:rsid w:val="00C97E89"/>
    <w:rsid w:val="00CA63D1"/>
    <w:rsid w:val="00CA66F9"/>
    <w:rsid w:val="00CB0E93"/>
    <w:rsid w:val="00CB1163"/>
    <w:rsid w:val="00CB186D"/>
    <w:rsid w:val="00CB1997"/>
    <w:rsid w:val="00CB2123"/>
    <w:rsid w:val="00CB220C"/>
    <w:rsid w:val="00CB2580"/>
    <w:rsid w:val="00CB304B"/>
    <w:rsid w:val="00CB31CA"/>
    <w:rsid w:val="00CB3468"/>
    <w:rsid w:val="00CB6CD0"/>
    <w:rsid w:val="00CC073D"/>
    <w:rsid w:val="00CC0BA9"/>
    <w:rsid w:val="00CC1C26"/>
    <w:rsid w:val="00CC1FDD"/>
    <w:rsid w:val="00CC5026"/>
    <w:rsid w:val="00CC531E"/>
    <w:rsid w:val="00CC7F7A"/>
    <w:rsid w:val="00CD0EEB"/>
    <w:rsid w:val="00CD2CC0"/>
    <w:rsid w:val="00CD51CC"/>
    <w:rsid w:val="00CD55A8"/>
    <w:rsid w:val="00CD5B2A"/>
    <w:rsid w:val="00CD670C"/>
    <w:rsid w:val="00CD6EDB"/>
    <w:rsid w:val="00CD6F5E"/>
    <w:rsid w:val="00CD7203"/>
    <w:rsid w:val="00CD7BC5"/>
    <w:rsid w:val="00CE0801"/>
    <w:rsid w:val="00CE202A"/>
    <w:rsid w:val="00CE29A4"/>
    <w:rsid w:val="00CE3489"/>
    <w:rsid w:val="00CE392F"/>
    <w:rsid w:val="00CE480D"/>
    <w:rsid w:val="00CE5377"/>
    <w:rsid w:val="00CE600A"/>
    <w:rsid w:val="00CF17D5"/>
    <w:rsid w:val="00CF2E37"/>
    <w:rsid w:val="00CF3434"/>
    <w:rsid w:val="00CF414B"/>
    <w:rsid w:val="00CF4CFF"/>
    <w:rsid w:val="00CF6624"/>
    <w:rsid w:val="00D0256C"/>
    <w:rsid w:val="00D02FCF"/>
    <w:rsid w:val="00D03F9A"/>
    <w:rsid w:val="00D048CF"/>
    <w:rsid w:val="00D056FC"/>
    <w:rsid w:val="00D072A6"/>
    <w:rsid w:val="00D112A0"/>
    <w:rsid w:val="00D119BA"/>
    <w:rsid w:val="00D12227"/>
    <w:rsid w:val="00D12A17"/>
    <w:rsid w:val="00D13382"/>
    <w:rsid w:val="00D1341F"/>
    <w:rsid w:val="00D1350B"/>
    <w:rsid w:val="00D14DB9"/>
    <w:rsid w:val="00D15235"/>
    <w:rsid w:val="00D16D81"/>
    <w:rsid w:val="00D17690"/>
    <w:rsid w:val="00D17940"/>
    <w:rsid w:val="00D207D1"/>
    <w:rsid w:val="00D22D7A"/>
    <w:rsid w:val="00D22F85"/>
    <w:rsid w:val="00D2361F"/>
    <w:rsid w:val="00D23EDC"/>
    <w:rsid w:val="00D24BAD"/>
    <w:rsid w:val="00D24E77"/>
    <w:rsid w:val="00D27774"/>
    <w:rsid w:val="00D30948"/>
    <w:rsid w:val="00D31ABA"/>
    <w:rsid w:val="00D32EC0"/>
    <w:rsid w:val="00D331A4"/>
    <w:rsid w:val="00D33F1E"/>
    <w:rsid w:val="00D35A9B"/>
    <w:rsid w:val="00D36D41"/>
    <w:rsid w:val="00D4047E"/>
    <w:rsid w:val="00D43E06"/>
    <w:rsid w:val="00D47F16"/>
    <w:rsid w:val="00D503CE"/>
    <w:rsid w:val="00D50BF1"/>
    <w:rsid w:val="00D51FE6"/>
    <w:rsid w:val="00D52003"/>
    <w:rsid w:val="00D549B1"/>
    <w:rsid w:val="00D55239"/>
    <w:rsid w:val="00D5568C"/>
    <w:rsid w:val="00D56AB6"/>
    <w:rsid w:val="00D56F7D"/>
    <w:rsid w:val="00D6094E"/>
    <w:rsid w:val="00D62153"/>
    <w:rsid w:val="00D627EF"/>
    <w:rsid w:val="00D62A9F"/>
    <w:rsid w:val="00D63091"/>
    <w:rsid w:val="00D6346F"/>
    <w:rsid w:val="00D63B9D"/>
    <w:rsid w:val="00D65318"/>
    <w:rsid w:val="00D67632"/>
    <w:rsid w:val="00D747E5"/>
    <w:rsid w:val="00D74FC0"/>
    <w:rsid w:val="00D7575F"/>
    <w:rsid w:val="00D75E9D"/>
    <w:rsid w:val="00D80739"/>
    <w:rsid w:val="00D80AF4"/>
    <w:rsid w:val="00D819D2"/>
    <w:rsid w:val="00D81D48"/>
    <w:rsid w:val="00D83434"/>
    <w:rsid w:val="00D84419"/>
    <w:rsid w:val="00D8516D"/>
    <w:rsid w:val="00D86A95"/>
    <w:rsid w:val="00D909E8"/>
    <w:rsid w:val="00D90DDF"/>
    <w:rsid w:val="00D92DF3"/>
    <w:rsid w:val="00D93B05"/>
    <w:rsid w:val="00D96339"/>
    <w:rsid w:val="00D97FB7"/>
    <w:rsid w:val="00DA1812"/>
    <w:rsid w:val="00DA1CFA"/>
    <w:rsid w:val="00DA2A28"/>
    <w:rsid w:val="00DA358A"/>
    <w:rsid w:val="00DA3C49"/>
    <w:rsid w:val="00DA5562"/>
    <w:rsid w:val="00DA67BF"/>
    <w:rsid w:val="00DA723B"/>
    <w:rsid w:val="00DA757F"/>
    <w:rsid w:val="00DA7593"/>
    <w:rsid w:val="00DA7C66"/>
    <w:rsid w:val="00DB0117"/>
    <w:rsid w:val="00DB024E"/>
    <w:rsid w:val="00DB07CF"/>
    <w:rsid w:val="00DB0A30"/>
    <w:rsid w:val="00DB3139"/>
    <w:rsid w:val="00DB34C8"/>
    <w:rsid w:val="00DB435E"/>
    <w:rsid w:val="00DB4E58"/>
    <w:rsid w:val="00DB5456"/>
    <w:rsid w:val="00DB5554"/>
    <w:rsid w:val="00DB6BF3"/>
    <w:rsid w:val="00DC118D"/>
    <w:rsid w:val="00DC1C5C"/>
    <w:rsid w:val="00DC1F73"/>
    <w:rsid w:val="00DC2EDA"/>
    <w:rsid w:val="00DC47A4"/>
    <w:rsid w:val="00DC5FEE"/>
    <w:rsid w:val="00DC6D7E"/>
    <w:rsid w:val="00DD0AEC"/>
    <w:rsid w:val="00DD0C11"/>
    <w:rsid w:val="00DD2025"/>
    <w:rsid w:val="00DD2707"/>
    <w:rsid w:val="00DD2991"/>
    <w:rsid w:val="00DD366A"/>
    <w:rsid w:val="00DD3D89"/>
    <w:rsid w:val="00DD4205"/>
    <w:rsid w:val="00DD4E75"/>
    <w:rsid w:val="00DD65DF"/>
    <w:rsid w:val="00DE1AB1"/>
    <w:rsid w:val="00DE2DDB"/>
    <w:rsid w:val="00DE34CF"/>
    <w:rsid w:val="00DE3BDA"/>
    <w:rsid w:val="00DE5C41"/>
    <w:rsid w:val="00DF1834"/>
    <w:rsid w:val="00DF1D5A"/>
    <w:rsid w:val="00DF33B2"/>
    <w:rsid w:val="00DF4B66"/>
    <w:rsid w:val="00DF559E"/>
    <w:rsid w:val="00DF5B46"/>
    <w:rsid w:val="00DF6F77"/>
    <w:rsid w:val="00DF7B18"/>
    <w:rsid w:val="00E00883"/>
    <w:rsid w:val="00E00C85"/>
    <w:rsid w:val="00E01545"/>
    <w:rsid w:val="00E0215B"/>
    <w:rsid w:val="00E03ECE"/>
    <w:rsid w:val="00E03F51"/>
    <w:rsid w:val="00E0689A"/>
    <w:rsid w:val="00E07B2C"/>
    <w:rsid w:val="00E10BB2"/>
    <w:rsid w:val="00E12724"/>
    <w:rsid w:val="00E13927"/>
    <w:rsid w:val="00E146FA"/>
    <w:rsid w:val="00E14A83"/>
    <w:rsid w:val="00E15959"/>
    <w:rsid w:val="00E15ADA"/>
    <w:rsid w:val="00E16215"/>
    <w:rsid w:val="00E2016E"/>
    <w:rsid w:val="00E2616C"/>
    <w:rsid w:val="00E302D8"/>
    <w:rsid w:val="00E31C6C"/>
    <w:rsid w:val="00E332C7"/>
    <w:rsid w:val="00E33314"/>
    <w:rsid w:val="00E33FC5"/>
    <w:rsid w:val="00E349A7"/>
    <w:rsid w:val="00E3718D"/>
    <w:rsid w:val="00E400FB"/>
    <w:rsid w:val="00E40865"/>
    <w:rsid w:val="00E4115D"/>
    <w:rsid w:val="00E4156A"/>
    <w:rsid w:val="00E4164F"/>
    <w:rsid w:val="00E42818"/>
    <w:rsid w:val="00E42CBA"/>
    <w:rsid w:val="00E436E6"/>
    <w:rsid w:val="00E437C8"/>
    <w:rsid w:val="00E47773"/>
    <w:rsid w:val="00E531A4"/>
    <w:rsid w:val="00E55AF8"/>
    <w:rsid w:val="00E55EBB"/>
    <w:rsid w:val="00E605C7"/>
    <w:rsid w:val="00E60614"/>
    <w:rsid w:val="00E609A4"/>
    <w:rsid w:val="00E60F3F"/>
    <w:rsid w:val="00E616F6"/>
    <w:rsid w:val="00E61A73"/>
    <w:rsid w:val="00E61A80"/>
    <w:rsid w:val="00E61AB2"/>
    <w:rsid w:val="00E62579"/>
    <w:rsid w:val="00E63216"/>
    <w:rsid w:val="00E64132"/>
    <w:rsid w:val="00E6591E"/>
    <w:rsid w:val="00E71881"/>
    <w:rsid w:val="00E71B48"/>
    <w:rsid w:val="00E7286D"/>
    <w:rsid w:val="00E74388"/>
    <w:rsid w:val="00E772F6"/>
    <w:rsid w:val="00E7785B"/>
    <w:rsid w:val="00E80376"/>
    <w:rsid w:val="00E8065D"/>
    <w:rsid w:val="00E81863"/>
    <w:rsid w:val="00E84E31"/>
    <w:rsid w:val="00E86016"/>
    <w:rsid w:val="00E86904"/>
    <w:rsid w:val="00E86B9F"/>
    <w:rsid w:val="00E87397"/>
    <w:rsid w:val="00E90230"/>
    <w:rsid w:val="00E9072B"/>
    <w:rsid w:val="00E91276"/>
    <w:rsid w:val="00E93CBA"/>
    <w:rsid w:val="00E948C9"/>
    <w:rsid w:val="00E96BDE"/>
    <w:rsid w:val="00EA01CC"/>
    <w:rsid w:val="00EA1D03"/>
    <w:rsid w:val="00EA29FC"/>
    <w:rsid w:val="00EA3F8B"/>
    <w:rsid w:val="00EA4758"/>
    <w:rsid w:val="00EA4ABC"/>
    <w:rsid w:val="00EA59B1"/>
    <w:rsid w:val="00EA5CA6"/>
    <w:rsid w:val="00EA7247"/>
    <w:rsid w:val="00EB191B"/>
    <w:rsid w:val="00EB1F1A"/>
    <w:rsid w:val="00EB2C5A"/>
    <w:rsid w:val="00EB2E70"/>
    <w:rsid w:val="00EB32D2"/>
    <w:rsid w:val="00EB372B"/>
    <w:rsid w:val="00EB4A8C"/>
    <w:rsid w:val="00EB557B"/>
    <w:rsid w:val="00EB6229"/>
    <w:rsid w:val="00EB6352"/>
    <w:rsid w:val="00EC099D"/>
    <w:rsid w:val="00EC3DB9"/>
    <w:rsid w:val="00EC4553"/>
    <w:rsid w:val="00EC5BD6"/>
    <w:rsid w:val="00EC5EC2"/>
    <w:rsid w:val="00EC5EEA"/>
    <w:rsid w:val="00ED0CC0"/>
    <w:rsid w:val="00ED2D35"/>
    <w:rsid w:val="00ED4D3C"/>
    <w:rsid w:val="00ED7ED3"/>
    <w:rsid w:val="00EE1497"/>
    <w:rsid w:val="00EE1F22"/>
    <w:rsid w:val="00EE32E7"/>
    <w:rsid w:val="00EE449C"/>
    <w:rsid w:val="00EE7D7C"/>
    <w:rsid w:val="00EF0859"/>
    <w:rsid w:val="00EF0B64"/>
    <w:rsid w:val="00EF289F"/>
    <w:rsid w:val="00EF37F6"/>
    <w:rsid w:val="00EF4F35"/>
    <w:rsid w:val="00EF5658"/>
    <w:rsid w:val="00EF5C89"/>
    <w:rsid w:val="00EF67EC"/>
    <w:rsid w:val="00EF6C05"/>
    <w:rsid w:val="00EF7562"/>
    <w:rsid w:val="00F01288"/>
    <w:rsid w:val="00F0153D"/>
    <w:rsid w:val="00F02584"/>
    <w:rsid w:val="00F03BDE"/>
    <w:rsid w:val="00F04B71"/>
    <w:rsid w:val="00F05C8E"/>
    <w:rsid w:val="00F07622"/>
    <w:rsid w:val="00F10289"/>
    <w:rsid w:val="00F108D9"/>
    <w:rsid w:val="00F1122A"/>
    <w:rsid w:val="00F116C9"/>
    <w:rsid w:val="00F12FE8"/>
    <w:rsid w:val="00F13CEC"/>
    <w:rsid w:val="00F148AC"/>
    <w:rsid w:val="00F16ADD"/>
    <w:rsid w:val="00F16B90"/>
    <w:rsid w:val="00F16EEC"/>
    <w:rsid w:val="00F170B2"/>
    <w:rsid w:val="00F202F3"/>
    <w:rsid w:val="00F20554"/>
    <w:rsid w:val="00F207AC"/>
    <w:rsid w:val="00F20C12"/>
    <w:rsid w:val="00F2170A"/>
    <w:rsid w:val="00F226A8"/>
    <w:rsid w:val="00F23714"/>
    <w:rsid w:val="00F24FA6"/>
    <w:rsid w:val="00F25D98"/>
    <w:rsid w:val="00F25F25"/>
    <w:rsid w:val="00F26315"/>
    <w:rsid w:val="00F26A74"/>
    <w:rsid w:val="00F27148"/>
    <w:rsid w:val="00F27497"/>
    <w:rsid w:val="00F300FB"/>
    <w:rsid w:val="00F30B6B"/>
    <w:rsid w:val="00F30D57"/>
    <w:rsid w:val="00F3103C"/>
    <w:rsid w:val="00F312BD"/>
    <w:rsid w:val="00F31DCD"/>
    <w:rsid w:val="00F32F25"/>
    <w:rsid w:val="00F33067"/>
    <w:rsid w:val="00F33203"/>
    <w:rsid w:val="00F33611"/>
    <w:rsid w:val="00F345C6"/>
    <w:rsid w:val="00F345EE"/>
    <w:rsid w:val="00F34D37"/>
    <w:rsid w:val="00F406C3"/>
    <w:rsid w:val="00F418B2"/>
    <w:rsid w:val="00F42990"/>
    <w:rsid w:val="00F42B40"/>
    <w:rsid w:val="00F43165"/>
    <w:rsid w:val="00F458BA"/>
    <w:rsid w:val="00F46D2C"/>
    <w:rsid w:val="00F46EBB"/>
    <w:rsid w:val="00F5023E"/>
    <w:rsid w:val="00F509FD"/>
    <w:rsid w:val="00F5278D"/>
    <w:rsid w:val="00F537EA"/>
    <w:rsid w:val="00F558A8"/>
    <w:rsid w:val="00F573A9"/>
    <w:rsid w:val="00F60B07"/>
    <w:rsid w:val="00F61B42"/>
    <w:rsid w:val="00F61BC7"/>
    <w:rsid w:val="00F62350"/>
    <w:rsid w:val="00F6320C"/>
    <w:rsid w:val="00F63A61"/>
    <w:rsid w:val="00F65A09"/>
    <w:rsid w:val="00F65B8C"/>
    <w:rsid w:val="00F65DC7"/>
    <w:rsid w:val="00F664A8"/>
    <w:rsid w:val="00F675EF"/>
    <w:rsid w:val="00F703A3"/>
    <w:rsid w:val="00F70989"/>
    <w:rsid w:val="00F725AE"/>
    <w:rsid w:val="00F74696"/>
    <w:rsid w:val="00F7475E"/>
    <w:rsid w:val="00F74E35"/>
    <w:rsid w:val="00F7594E"/>
    <w:rsid w:val="00F7629D"/>
    <w:rsid w:val="00F81ED9"/>
    <w:rsid w:val="00F8215A"/>
    <w:rsid w:val="00F8443A"/>
    <w:rsid w:val="00F8523B"/>
    <w:rsid w:val="00F8559D"/>
    <w:rsid w:val="00F85966"/>
    <w:rsid w:val="00F85D31"/>
    <w:rsid w:val="00F86753"/>
    <w:rsid w:val="00F90A7F"/>
    <w:rsid w:val="00F90AE0"/>
    <w:rsid w:val="00F923D7"/>
    <w:rsid w:val="00F9555E"/>
    <w:rsid w:val="00F95ED6"/>
    <w:rsid w:val="00F9605C"/>
    <w:rsid w:val="00F96C66"/>
    <w:rsid w:val="00FA0DCF"/>
    <w:rsid w:val="00FA3951"/>
    <w:rsid w:val="00FA53C9"/>
    <w:rsid w:val="00FA62C6"/>
    <w:rsid w:val="00FA732C"/>
    <w:rsid w:val="00FA7CDB"/>
    <w:rsid w:val="00FB0444"/>
    <w:rsid w:val="00FB1CC6"/>
    <w:rsid w:val="00FB1D77"/>
    <w:rsid w:val="00FB3678"/>
    <w:rsid w:val="00FB37F4"/>
    <w:rsid w:val="00FB6386"/>
    <w:rsid w:val="00FB6F06"/>
    <w:rsid w:val="00FB71F4"/>
    <w:rsid w:val="00FB72E5"/>
    <w:rsid w:val="00FC07C0"/>
    <w:rsid w:val="00FC1202"/>
    <w:rsid w:val="00FC2674"/>
    <w:rsid w:val="00FC2A5F"/>
    <w:rsid w:val="00FC331B"/>
    <w:rsid w:val="00FC392D"/>
    <w:rsid w:val="00FC3E22"/>
    <w:rsid w:val="00FC44F4"/>
    <w:rsid w:val="00FC71B3"/>
    <w:rsid w:val="00FC72C7"/>
    <w:rsid w:val="00FC731E"/>
    <w:rsid w:val="00FC75AB"/>
    <w:rsid w:val="00FC78AF"/>
    <w:rsid w:val="00FD080B"/>
    <w:rsid w:val="00FD197F"/>
    <w:rsid w:val="00FD1F2E"/>
    <w:rsid w:val="00FD3503"/>
    <w:rsid w:val="00FD6006"/>
    <w:rsid w:val="00FD6678"/>
    <w:rsid w:val="00FD779D"/>
    <w:rsid w:val="00FE209A"/>
    <w:rsid w:val="00FE3046"/>
    <w:rsid w:val="00FE3176"/>
    <w:rsid w:val="00FE34B9"/>
    <w:rsid w:val="00FE524B"/>
    <w:rsid w:val="00FE7048"/>
    <w:rsid w:val="00FE7ACE"/>
    <w:rsid w:val="00FF0246"/>
    <w:rsid w:val="00FF036E"/>
    <w:rsid w:val="00FF0CCB"/>
    <w:rsid w:val="00FF2E8F"/>
    <w:rsid w:val="00FF4032"/>
    <w:rsid w:val="00FF4565"/>
    <w:rsid w:val="00FF47DA"/>
    <w:rsid w:val="00FF56F4"/>
    <w:rsid w:val="00FF69BB"/>
    <w:rsid w:val="00FF6A0A"/>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0368"/>
    <w:pPr>
      <w:spacing w:after="180"/>
    </w:pPr>
    <w:rPr>
      <w:rFonts w:ascii="Times New Roman" w:hAnsi="Times New Roman"/>
      <w:lang w:val="en-GB" w:eastAsia="en-US"/>
    </w:rPr>
  </w:style>
  <w:style w:type="paragraph" w:styleId="1">
    <w:name w:val="heading 1"/>
    <w:aliases w:val="H1"/>
    <w:next w:val="a"/>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rsid w:val="008861DC"/>
    <w:pPr>
      <w:pBdr>
        <w:top w:val="none" w:sz="0" w:space="0" w:color="auto"/>
      </w:pBdr>
      <w:spacing w:before="180"/>
      <w:outlineLvl w:val="1"/>
    </w:pPr>
    <w:rPr>
      <w:sz w:val="32"/>
    </w:rPr>
  </w:style>
  <w:style w:type="paragraph" w:styleId="3">
    <w:name w:val="heading 3"/>
    <w:basedOn w:val="20"/>
    <w:next w:val="a"/>
    <w:qFormat/>
    <w:rsid w:val="008861DC"/>
    <w:pPr>
      <w:spacing w:before="120"/>
      <w:outlineLvl w:val="2"/>
    </w:pPr>
    <w:rPr>
      <w:sz w:val="28"/>
    </w:rPr>
  </w:style>
  <w:style w:type="paragraph" w:styleId="4">
    <w:name w:val="heading 4"/>
    <w:basedOn w:val="3"/>
    <w:next w:val="a"/>
    <w:qFormat/>
    <w:rsid w:val="008861DC"/>
    <w:pPr>
      <w:ind w:left="1418" w:hanging="1418"/>
      <w:outlineLvl w:val="3"/>
    </w:pPr>
    <w:rPr>
      <w:sz w:val="24"/>
    </w:rPr>
  </w:style>
  <w:style w:type="paragraph" w:styleId="5">
    <w:name w:val="heading 5"/>
    <w:basedOn w:val="4"/>
    <w:next w:val="a"/>
    <w:qFormat/>
    <w:rsid w:val="008861DC"/>
    <w:pPr>
      <w:ind w:left="1701" w:hanging="1701"/>
      <w:outlineLvl w:val="4"/>
    </w:pPr>
    <w:rPr>
      <w:sz w:val="22"/>
    </w:rPr>
  </w:style>
  <w:style w:type="paragraph" w:styleId="6">
    <w:name w:val="heading 6"/>
    <w:basedOn w:val="H6"/>
    <w:next w:val="a"/>
    <w:qFormat/>
    <w:rsid w:val="008861DC"/>
    <w:pPr>
      <w:outlineLvl w:val="5"/>
    </w:pPr>
  </w:style>
  <w:style w:type="paragraph" w:styleId="7">
    <w:name w:val="heading 7"/>
    <w:basedOn w:val="H6"/>
    <w:next w:val="a"/>
    <w:qFormat/>
    <w:rsid w:val="008861DC"/>
    <w:pPr>
      <w:outlineLvl w:val="6"/>
    </w:pPr>
  </w:style>
  <w:style w:type="paragraph" w:styleId="8">
    <w:name w:val="heading 8"/>
    <w:basedOn w:val="1"/>
    <w:next w:val="a"/>
    <w:qFormat/>
    <w:rsid w:val="008861DC"/>
    <w:pPr>
      <w:ind w:left="0" w:firstLine="0"/>
      <w:outlineLvl w:val="7"/>
    </w:pPr>
  </w:style>
  <w:style w:type="paragraph" w:styleId="9">
    <w:name w:val="heading 9"/>
    <w:basedOn w:val="8"/>
    <w:next w:val="a"/>
    <w:qFormat/>
    <w:rsid w:val="008861D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861DC"/>
    <w:pPr>
      <w:spacing w:before="180"/>
      <w:ind w:left="2693" w:hanging="2693"/>
    </w:pPr>
    <w:rPr>
      <w:b/>
    </w:rPr>
  </w:style>
  <w:style w:type="paragraph" w:styleId="10">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861DC"/>
    <w:pPr>
      <w:ind w:left="1701" w:hanging="1701"/>
    </w:pPr>
  </w:style>
  <w:style w:type="paragraph" w:styleId="40">
    <w:name w:val="toc 4"/>
    <w:basedOn w:val="30"/>
    <w:semiHidden/>
    <w:rsid w:val="008861DC"/>
    <w:pPr>
      <w:ind w:left="1418" w:hanging="1418"/>
    </w:pPr>
  </w:style>
  <w:style w:type="paragraph" w:styleId="30">
    <w:name w:val="toc 3"/>
    <w:basedOn w:val="21"/>
    <w:semiHidden/>
    <w:rsid w:val="008861DC"/>
    <w:pPr>
      <w:ind w:left="1134" w:hanging="1134"/>
    </w:pPr>
  </w:style>
  <w:style w:type="paragraph" w:styleId="21">
    <w:name w:val="toc 2"/>
    <w:basedOn w:val="10"/>
    <w:semiHidden/>
    <w:rsid w:val="008861DC"/>
    <w:pPr>
      <w:keepNext w:val="0"/>
      <w:spacing w:before="0"/>
      <w:ind w:left="851" w:hanging="851"/>
    </w:pPr>
    <w:rPr>
      <w:sz w:val="20"/>
    </w:rPr>
  </w:style>
  <w:style w:type="paragraph" w:styleId="22">
    <w:name w:val="index 2"/>
    <w:basedOn w:val="11"/>
    <w:semiHidden/>
    <w:rsid w:val="008861DC"/>
    <w:pPr>
      <w:ind w:left="284"/>
    </w:pPr>
  </w:style>
  <w:style w:type="paragraph" w:styleId="11">
    <w:name w:val="index 1"/>
    <w:basedOn w:val="a"/>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861DC"/>
    <w:pPr>
      <w:outlineLvl w:val="9"/>
    </w:pPr>
  </w:style>
  <w:style w:type="paragraph" w:styleId="23">
    <w:name w:val="List Number 2"/>
    <w:basedOn w:val="a3"/>
    <w:rsid w:val="008861D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8861DC"/>
    <w:pPr>
      <w:widowControl w:val="0"/>
    </w:pPr>
    <w:rPr>
      <w:rFonts w:ascii="Arial" w:hAnsi="Arial"/>
      <w:b/>
      <w:noProof/>
      <w:sz w:val="18"/>
      <w:lang w:val="en-GB" w:eastAsia="en-US"/>
    </w:rPr>
  </w:style>
  <w:style w:type="character" w:styleId="a5">
    <w:name w:val="footnote reference"/>
    <w:semiHidden/>
    <w:rsid w:val="008861DC"/>
    <w:rPr>
      <w:b/>
      <w:position w:val="6"/>
      <w:sz w:val="16"/>
    </w:rPr>
  </w:style>
  <w:style w:type="paragraph" w:styleId="a6">
    <w:name w:val="footnote text"/>
    <w:basedOn w:val="a"/>
    <w:semiHidden/>
    <w:rsid w:val="008861DC"/>
    <w:pPr>
      <w:keepLines/>
      <w:spacing w:after="0"/>
      <w:ind w:left="454" w:hanging="454"/>
    </w:pPr>
    <w:rPr>
      <w:sz w:val="16"/>
    </w:rPr>
  </w:style>
  <w:style w:type="paragraph" w:customStyle="1" w:styleId="TAH">
    <w:name w:val="TAH"/>
    <w:basedOn w:val="TAC"/>
    <w:rsid w:val="008861DC"/>
    <w:rPr>
      <w:b/>
    </w:rPr>
  </w:style>
  <w:style w:type="paragraph" w:customStyle="1" w:styleId="TAC">
    <w:name w:val="TAC"/>
    <w:basedOn w:val="TAL"/>
    <w:rsid w:val="008861DC"/>
    <w:pPr>
      <w:jc w:val="center"/>
    </w:pPr>
  </w:style>
  <w:style w:type="paragraph" w:customStyle="1" w:styleId="TF">
    <w:name w:val="TF"/>
    <w:basedOn w:val="TH"/>
    <w:rsid w:val="008861DC"/>
    <w:pPr>
      <w:keepNext w:val="0"/>
      <w:spacing w:before="0" w:after="240"/>
    </w:pPr>
  </w:style>
  <w:style w:type="paragraph" w:customStyle="1" w:styleId="NO">
    <w:name w:val="NO"/>
    <w:basedOn w:val="a"/>
    <w:link w:val="NOChar"/>
    <w:rsid w:val="008861DC"/>
    <w:pPr>
      <w:keepLines/>
      <w:ind w:left="1135" w:hanging="851"/>
    </w:pPr>
  </w:style>
  <w:style w:type="paragraph" w:styleId="90">
    <w:name w:val="toc 9"/>
    <w:basedOn w:val="80"/>
    <w:semiHidden/>
    <w:rsid w:val="008861DC"/>
    <w:pPr>
      <w:ind w:left="1418" w:hanging="1418"/>
    </w:pPr>
  </w:style>
  <w:style w:type="paragraph" w:customStyle="1" w:styleId="EX">
    <w:name w:val="EX"/>
    <w:basedOn w:val="a"/>
    <w:rsid w:val="008861DC"/>
    <w:pPr>
      <w:keepLines/>
      <w:ind w:left="1702" w:hanging="1418"/>
    </w:pPr>
  </w:style>
  <w:style w:type="paragraph" w:customStyle="1" w:styleId="FP">
    <w:name w:val="FP"/>
    <w:basedOn w:val="a"/>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60">
    <w:name w:val="toc 6"/>
    <w:basedOn w:val="50"/>
    <w:next w:val="a"/>
    <w:semiHidden/>
    <w:rsid w:val="008861DC"/>
    <w:pPr>
      <w:ind w:left="1985" w:hanging="1985"/>
    </w:pPr>
  </w:style>
  <w:style w:type="paragraph" w:styleId="70">
    <w:name w:val="toc 7"/>
    <w:basedOn w:val="60"/>
    <w:next w:val="a"/>
    <w:semiHidden/>
    <w:rsid w:val="008861DC"/>
    <w:pPr>
      <w:ind w:left="2268" w:hanging="2268"/>
    </w:pPr>
  </w:style>
  <w:style w:type="paragraph" w:styleId="24">
    <w:name w:val="List Bullet 2"/>
    <w:basedOn w:val="a7"/>
    <w:rsid w:val="008861DC"/>
    <w:pPr>
      <w:ind w:left="851"/>
    </w:pPr>
  </w:style>
  <w:style w:type="paragraph" w:styleId="31">
    <w:name w:val="List Bullet 3"/>
    <w:basedOn w:val="24"/>
    <w:rsid w:val="008861DC"/>
    <w:pPr>
      <w:ind w:left="1135"/>
    </w:pPr>
  </w:style>
  <w:style w:type="paragraph" w:styleId="a3">
    <w:name w:val="List Number"/>
    <w:basedOn w:val="a8"/>
    <w:rsid w:val="008861DC"/>
  </w:style>
  <w:style w:type="paragraph" w:customStyle="1" w:styleId="EQ">
    <w:name w:val="EQ"/>
    <w:basedOn w:val="a"/>
    <w:next w:val="a"/>
    <w:rsid w:val="008861DC"/>
    <w:pPr>
      <w:keepLines/>
      <w:tabs>
        <w:tab w:val="center" w:pos="4536"/>
        <w:tab w:val="right" w:pos="9072"/>
      </w:tabs>
    </w:pPr>
    <w:rPr>
      <w:noProof/>
    </w:rPr>
  </w:style>
  <w:style w:type="paragraph" w:customStyle="1" w:styleId="TH">
    <w:name w:val="TH"/>
    <w:basedOn w:val="a"/>
    <w:link w:val="THChar"/>
    <w:rsid w:val="008861DC"/>
    <w:pPr>
      <w:keepNext/>
      <w:keepLines/>
      <w:spacing w:before="60"/>
      <w:jc w:val="center"/>
    </w:pPr>
    <w:rPr>
      <w:rFonts w:ascii="Arial" w:hAnsi="Arial"/>
      <w:b/>
    </w:rPr>
  </w:style>
  <w:style w:type="paragraph" w:customStyle="1" w:styleId="NF">
    <w:name w:val="NF"/>
    <w:basedOn w:val="NO"/>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5"/>
    <w:next w:val="a"/>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a"/>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25">
    <w:name w:val="List 2"/>
    <w:basedOn w:val="a8"/>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8861DC"/>
    <w:pPr>
      <w:ind w:left="1135"/>
    </w:pPr>
  </w:style>
  <w:style w:type="paragraph" w:styleId="41">
    <w:name w:val="List 4"/>
    <w:basedOn w:val="32"/>
    <w:rsid w:val="008861DC"/>
    <w:pPr>
      <w:ind w:left="1418"/>
    </w:pPr>
  </w:style>
  <w:style w:type="paragraph" w:styleId="51">
    <w:name w:val="List 5"/>
    <w:basedOn w:val="41"/>
    <w:rsid w:val="008861DC"/>
    <w:pPr>
      <w:ind w:left="1702"/>
    </w:pPr>
  </w:style>
  <w:style w:type="paragraph" w:customStyle="1" w:styleId="EditorsNote">
    <w:name w:val="Editor's Note"/>
    <w:basedOn w:val="NO"/>
    <w:rsid w:val="008861DC"/>
    <w:rPr>
      <w:color w:val="FF0000"/>
    </w:rPr>
  </w:style>
  <w:style w:type="paragraph" w:styleId="a8">
    <w:name w:val="List"/>
    <w:basedOn w:val="a"/>
    <w:rsid w:val="008861DC"/>
    <w:pPr>
      <w:ind w:left="568" w:hanging="284"/>
    </w:pPr>
  </w:style>
  <w:style w:type="paragraph" w:styleId="a7">
    <w:name w:val="List Bullet"/>
    <w:basedOn w:val="a8"/>
    <w:rsid w:val="008861DC"/>
  </w:style>
  <w:style w:type="paragraph" w:styleId="42">
    <w:name w:val="List Bullet 4"/>
    <w:basedOn w:val="31"/>
    <w:rsid w:val="008861DC"/>
    <w:pPr>
      <w:ind w:left="1418"/>
    </w:pPr>
  </w:style>
  <w:style w:type="paragraph" w:styleId="52">
    <w:name w:val="List Bullet 5"/>
    <w:basedOn w:val="42"/>
    <w:rsid w:val="008861DC"/>
    <w:pPr>
      <w:ind w:left="1702"/>
    </w:pPr>
  </w:style>
  <w:style w:type="paragraph" w:customStyle="1" w:styleId="B1">
    <w:name w:val="B1"/>
    <w:basedOn w:val="a8"/>
    <w:link w:val="B1Char"/>
    <w:qFormat/>
    <w:rsid w:val="008861DC"/>
  </w:style>
  <w:style w:type="paragraph" w:customStyle="1" w:styleId="B2">
    <w:name w:val="B2"/>
    <w:basedOn w:val="25"/>
    <w:link w:val="B2Char"/>
    <w:qFormat/>
    <w:rsid w:val="008861DC"/>
  </w:style>
  <w:style w:type="paragraph" w:customStyle="1" w:styleId="B3">
    <w:name w:val="B3"/>
    <w:basedOn w:val="32"/>
    <w:link w:val="B3Char"/>
    <w:rsid w:val="008861DC"/>
  </w:style>
  <w:style w:type="paragraph" w:customStyle="1" w:styleId="B4">
    <w:name w:val="B4"/>
    <w:basedOn w:val="41"/>
    <w:link w:val="B4Char"/>
    <w:qFormat/>
    <w:rsid w:val="008861DC"/>
  </w:style>
  <w:style w:type="paragraph" w:customStyle="1" w:styleId="B5">
    <w:name w:val="B5"/>
    <w:basedOn w:val="51"/>
    <w:rsid w:val="008861DC"/>
  </w:style>
  <w:style w:type="paragraph" w:styleId="a9">
    <w:name w:val="footer"/>
    <w:basedOn w:val="a4"/>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aa">
    <w:name w:val="Hyperlink"/>
    <w:rsid w:val="008861DC"/>
    <w:rPr>
      <w:color w:val="0000FF"/>
      <w:u w:val="single"/>
    </w:rPr>
  </w:style>
  <w:style w:type="character" w:styleId="ab">
    <w:name w:val="annotation reference"/>
    <w:rsid w:val="008861DC"/>
    <w:rPr>
      <w:sz w:val="16"/>
    </w:rPr>
  </w:style>
  <w:style w:type="paragraph" w:styleId="ac">
    <w:name w:val="annotation text"/>
    <w:basedOn w:val="a"/>
    <w:link w:val="Char0"/>
    <w:rsid w:val="008861DC"/>
  </w:style>
  <w:style w:type="character" w:customStyle="1" w:styleId="12">
    <w:name w:val="访问过的超链接1"/>
    <w:rsid w:val="008861DC"/>
    <w:rPr>
      <w:color w:val="800080"/>
      <w:u w:val="single"/>
    </w:rPr>
  </w:style>
  <w:style w:type="paragraph" w:styleId="ad">
    <w:name w:val="Balloon Text"/>
    <w:basedOn w:val="a"/>
    <w:semiHidden/>
    <w:rsid w:val="008861DC"/>
    <w:rPr>
      <w:rFonts w:ascii="Tahoma" w:hAnsi="Tahoma" w:cs="Tahoma"/>
      <w:sz w:val="16"/>
      <w:szCs w:val="16"/>
    </w:rPr>
  </w:style>
  <w:style w:type="paragraph" w:styleId="ae">
    <w:name w:val="annotation subject"/>
    <w:basedOn w:val="ac"/>
    <w:next w:val="ac"/>
    <w:semiHidden/>
    <w:rsid w:val="008861DC"/>
    <w:rPr>
      <w:b/>
      <w:bCs/>
    </w:rPr>
  </w:style>
  <w:style w:type="paragraph" w:styleId="af">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0">
    <w:name w:val="批注文字 Char"/>
    <w:link w:val="ac"/>
    <w:rsid w:val="00F95ED6"/>
    <w:rPr>
      <w:rFonts w:ascii="Times New Roman" w:hAnsi="Times New Roman"/>
      <w:lang w:val="en-GB" w:eastAsia="en-US"/>
    </w:rPr>
  </w:style>
  <w:style w:type="paragraph" w:styleId="af0">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
    <w:link w:val="Char1"/>
    <w:uiPriority w:val="34"/>
    <w:qFormat/>
    <w:rsid w:val="0005728E"/>
    <w:pPr>
      <w:spacing w:after="0"/>
      <w:ind w:left="720"/>
      <w:jc w:val="both"/>
    </w:pPr>
    <w:rPr>
      <w:rFonts w:ascii="等线" w:hAnsi="宋体" w:cs="宋体"/>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jc w:val="both"/>
    </w:pPr>
    <w:rPr>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2">
    <w:name w:val="Table Grid"/>
    <w:basedOn w:val="a1"/>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3">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标题 Char"/>
    <w:link w:val="af3"/>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7305B"/>
    <w:rPr>
      <w:rFonts w:ascii="Arial" w:hAnsi="Arial"/>
      <w:b/>
      <w:noProof/>
      <w:sz w:val="18"/>
      <w:lang w:val="en-GB" w:eastAsia="en-US"/>
    </w:rPr>
  </w:style>
  <w:style w:type="paragraph" w:customStyle="1" w:styleId="Agreement">
    <w:name w:val="Agreement"/>
    <w:basedOn w:val="a"/>
    <w:next w:val="Doc-text2"/>
    <w:rsid w:val="009E386A"/>
    <w:pPr>
      <w:numPr>
        <w:numId w:val="5"/>
      </w:numPr>
      <w:tabs>
        <w:tab w:val="clear" w:pos="2250"/>
        <w:tab w:val="num" w:pos="1980"/>
      </w:tabs>
      <w:spacing w:before="60" w:after="0"/>
      <w:ind w:left="1980"/>
    </w:pPr>
    <w:rPr>
      <w:rFonts w:ascii="Arial" w:eastAsia="MS Mincho" w:hAnsi="Arial"/>
      <w:b/>
      <w:szCs w:val="24"/>
      <w:lang w:eastAsia="en-GB"/>
    </w:rPr>
  </w:style>
  <w:style w:type="character" w:customStyle="1" w:styleId="Char1">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0"/>
    <w:uiPriority w:val="34"/>
    <w:qFormat/>
    <w:rsid w:val="00E07B2C"/>
    <w:rPr>
      <w:rFonts w:ascii="等线" w:hAnsi="宋体" w:cs="宋体"/>
      <w:sz w:val="21"/>
      <w:szCs w:val="21"/>
    </w:rPr>
  </w:style>
  <w:style w:type="paragraph" w:customStyle="1" w:styleId="BoldComments">
    <w:name w:val="Bold Comments"/>
    <w:basedOn w:val="a"/>
    <w:link w:val="BoldCommentsChar"/>
    <w:qFormat/>
    <w:rsid w:val="00FF69B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F69BB"/>
    <w:rPr>
      <w:rFonts w:ascii="Arial" w:eastAsia="MS Mincho" w:hAnsi="Arial"/>
      <w:b/>
      <w:szCs w:val="24"/>
      <w:lang w:val="en-GB" w:eastAsia="en-GB"/>
    </w:rPr>
  </w:style>
  <w:style w:type="character" w:styleId="af4">
    <w:name w:val="FollowedHyperlink"/>
    <w:basedOn w:val="a0"/>
    <w:semiHidden/>
    <w:unhideWhenUsed/>
    <w:rsid w:val="00E1595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65079383">
      <w:bodyDiv w:val="1"/>
      <w:marLeft w:val="0"/>
      <w:marRight w:val="0"/>
      <w:marTop w:val="0"/>
      <w:marBottom w:val="0"/>
      <w:divBdr>
        <w:top w:val="none" w:sz="0" w:space="0" w:color="auto"/>
        <w:left w:val="none" w:sz="0" w:space="0" w:color="auto"/>
        <w:bottom w:val="none" w:sz="0" w:space="0" w:color="auto"/>
        <w:right w:val="none" w:sz="0" w:space="0" w:color="auto"/>
      </w:divBdr>
    </w:div>
    <w:div w:id="67504897">
      <w:bodyDiv w:val="1"/>
      <w:marLeft w:val="0"/>
      <w:marRight w:val="0"/>
      <w:marTop w:val="0"/>
      <w:marBottom w:val="0"/>
      <w:divBdr>
        <w:top w:val="none" w:sz="0" w:space="0" w:color="auto"/>
        <w:left w:val="none" w:sz="0" w:space="0" w:color="auto"/>
        <w:bottom w:val="none" w:sz="0" w:space="0" w:color="auto"/>
        <w:right w:val="none" w:sz="0" w:space="0" w:color="auto"/>
      </w:divBdr>
    </w:div>
    <w:div w:id="76246722">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3792703">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100418355">
      <w:bodyDiv w:val="1"/>
      <w:marLeft w:val="0"/>
      <w:marRight w:val="0"/>
      <w:marTop w:val="0"/>
      <w:marBottom w:val="0"/>
      <w:divBdr>
        <w:top w:val="none" w:sz="0" w:space="0" w:color="auto"/>
        <w:left w:val="none" w:sz="0" w:space="0" w:color="auto"/>
        <w:bottom w:val="none" w:sz="0" w:space="0" w:color="auto"/>
        <w:right w:val="none" w:sz="0" w:space="0" w:color="auto"/>
      </w:divBdr>
    </w:div>
    <w:div w:id="103036220">
      <w:bodyDiv w:val="1"/>
      <w:marLeft w:val="0"/>
      <w:marRight w:val="0"/>
      <w:marTop w:val="0"/>
      <w:marBottom w:val="0"/>
      <w:divBdr>
        <w:top w:val="none" w:sz="0" w:space="0" w:color="auto"/>
        <w:left w:val="none" w:sz="0" w:space="0" w:color="auto"/>
        <w:bottom w:val="none" w:sz="0" w:space="0" w:color="auto"/>
        <w:right w:val="none" w:sz="0" w:space="0" w:color="auto"/>
      </w:divBdr>
    </w:div>
    <w:div w:id="109712370">
      <w:bodyDiv w:val="1"/>
      <w:marLeft w:val="0"/>
      <w:marRight w:val="0"/>
      <w:marTop w:val="0"/>
      <w:marBottom w:val="0"/>
      <w:divBdr>
        <w:top w:val="none" w:sz="0" w:space="0" w:color="auto"/>
        <w:left w:val="none" w:sz="0" w:space="0" w:color="auto"/>
        <w:bottom w:val="none" w:sz="0" w:space="0" w:color="auto"/>
        <w:right w:val="none" w:sz="0" w:space="0" w:color="auto"/>
      </w:divBdr>
    </w:div>
    <w:div w:id="118450638">
      <w:bodyDiv w:val="1"/>
      <w:marLeft w:val="0"/>
      <w:marRight w:val="0"/>
      <w:marTop w:val="0"/>
      <w:marBottom w:val="0"/>
      <w:divBdr>
        <w:top w:val="none" w:sz="0" w:space="0" w:color="auto"/>
        <w:left w:val="none" w:sz="0" w:space="0" w:color="auto"/>
        <w:bottom w:val="none" w:sz="0" w:space="0" w:color="auto"/>
        <w:right w:val="none" w:sz="0" w:space="0" w:color="auto"/>
      </w:divBdr>
    </w:div>
    <w:div w:id="120199481">
      <w:bodyDiv w:val="1"/>
      <w:marLeft w:val="0"/>
      <w:marRight w:val="0"/>
      <w:marTop w:val="0"/>
      <w:marBottom w:val="0"/>
      <w:divBdr>
        <w:top w:val="none" w:sz="0" w:space="0" w:color="auto"/>
        <w:left w:val="none" w:sz="0" w:space="0" w:color="auto"/>
        <w:bottom w:val="none" w:sz="0" w:space="0" w:color="auto"/>
        <w:right w:val="none" w:sz="0" w:space="0" w:color="auto"/>
      </w:divBdr>
    </w:div>
    <w:div w:id="131336416">
      <w:bodyDiv w:val="1"/>
      <w:marLeft w:val="0"/>
      <w:marRight w:val="0"/>
      <w:marTop w:val="0"/>
      <w:marBottom w:val="0"/>
      <w:divBdr>
        <w:top w:val="none" w:sz="0" w:space="0" w:color="auto"/>
        <w:left w:val="none" w:sz="0" w:space="0" w:color="auto"/>
        <w:bottom w:val="none" w:sz="0" w:space="0" w:color="auto"/>
        <w:right w:val="none" w:sz="0" w:space="0" w:color="auto"/>
      </w:divBdr>
    </w:div>
    <w:div w:id="131679021">
      <w:bodyDiv w:val="1"/>
      <w:marLeft w:val="0"/>
      <w:marRight w:val="0"/>
      <w:marTop w:val="0"/>
      <w:marBottom w:val="0"/>
      <w:divBdr>
        <w:top w:val="none" w:sz="0" w:space="0" w:color="auto"/>
        <w:left w:val="none" w:sz="0" w:space="0" w:color="auto"/>
        <w:bottom w:val="none" w:sz="0" w:space="0" w:color="auto"/>
        <w:right w:val="none" w:sz="0" w:space="0" w:color="auto"/>
      </w:divBdr>
    </w:div>
    <w:div w:id="133983799">
      <w:bodyDiv w:val="1"/>
      <w:marLeft w:val="0"/>
      <w:marRight w:val="0"/>
      <w:marTop w:val="0"/>
      <w:marBottom w:val="0"/>
      <w:divBdr>
        <w:top w:val="none" w:sz="0" w:space="0" w:color="auto"/>
        <w:left w:val="none" w:sz="0" w:space="0" w:color="auto"/>
        <w:bottom w:val="none" w:sz="0" w:space="0" w:color="auto"/>
        <w:right w:val="none" w:sz="0" w:space="0" w:color="auto"/>
      </w:divBdr>
    </w:div>
    <w:div w:id="138227403">
      <w:bodyDiv w:val="1"/>
      <w:marLeft w:val="0"/>
      <w:marRight w:val="0"/>
      <w:marTop w:val="0"/>
      <w:marBottom w:val="0"/>
      <w:divBdr>
        <w:top w:val="none" w:sz="0" w:space="0" w:color="auto"/>
        <w:left w:val="none" w:sz="0" w:space="0" w:color="auto"/>
        <w:bottom w:val="none" w:sz="0" w:space="0" w:color="auto"/>
        <w:right w:val="none" w:sz="0" w:space="0" w:color="auto"/>
      </w:divBdr>
    </w:div>
    <w:div w:id="138885110">
      <w:bodyDiv w:val="1"/>
      <w:marLeft w:val="0"/>
      <w:marRight w:val="0"/>
      <w:marTop w:val="0"/>
      <w:marBottom w:val="0"/>
      <w:divBdr>
        <w:top w:val="none" w:sz="0" w:space="0" w:color="auto"/>
        <w:left w:val="none" w:sz="0" w:space="0" w:color="auto"/>
        <w:bottom w:val="none" w:sz="0" w:space="0" w:color="auto"/>
        <w:right w:val="none" w:sz="0" w:space="0" w:color="auto"/>
      </w:divBdr>
    </w:div>
    <w:div w:id="150221093">
      <w:bodyDiv w:val="1"/>
      <w:marLeft w:val="0"/>
      <w:marRight w:val="0"/>
      <w:marTop w:val="0"/>
      <w:marBottom w:val="0"/>
      <w:divBdr>
        <w:top w:val="none" w:sz="0" w:space="0" w:color="auto"/>
        <w:left w:val="none" w:sz="0" w:space="0" w:color="auto"/>
        <w:bottom w:val="none" w:sz="0" w:space="0" w:color="auto"/>
        <w:right w:val="none" w:sz="0" w:space="0" w:color="auto"/>
      </w:divBdr>
    </w:div>
    <w:div w:id="163672952">
      <w:bodyDiv w:val="1"/>
      <w:marLeft w:val="0"/>
      <w:marRight w:val="0"/>
      <w:marTop w:val="0"/>
      <w:marBottom w:val="0"/>
      <w:divBdr>
        <w:top w:val="none" w:sz="0" w:space="0" w:color="auto"/>
        <w:left w:val="none" w:sz="0" w:space="0" w:color="auto"/>
        <w:bottom w:val="none" w:sz="0" w:space="0" w:color="auto"/>
        <w:right w:val="none" w:sz="0" w:space="0" w:color="auto"/>
      </w:divBdr>
    </w:div>
    <w:div w:id="187839691">
      <w:bodyDiv w:val="1"/>
      <w:marLeft w:val="0"/>
      <w:marRight w:val="0"/>
      <w:marTop w:val="0"/>
      <w:marBottom w:val="0"/>
      <w:divBdr>
        <w:top w:val="none" w:sz="0" w:space="0" w:color="auto"/>
        <w:left w:val="none" w:sz="0" w:space="0" w:color="auto"/>
        <w:bottom w:val="none" w:sz="0" w:space="0" w:color="auto"/>
        <w:right w:val="none" w:sz="0" w:space="0" w:color="auto"/>
      </w:divBdr>
    </w:div>
    <w:div w:id="194781108">
      <w:bodyDiv w:val="1"/>
      <w:marLeft w:val="0"/>
      <w:marRight w:val="0"/>
      <w:marTop w:val="0"/>
      <w:marBottom w:val="0"/>
      <w:divBdr>
        <w:top w:val="none" w:sz="0" w:space="0" w:color="auto"/>
        <w:left w:val="none" w:sz="0" w:space="0" w:color="auto"/>
        <w:bottom w:val="none" w:sz="0" w:space="0" w:color="auto"/>
        <w:right w:val="none" w:sz="0" w:space="0" w:color="auto"/>
      </w:divBdr>
    </w:div>
    <w:div w:id="231157856">
      <w:bodyDiv w:val="1"/>
      <w:marLeft w:val="0"/>
      <w:marRight w:val="0"/>
      <w:marTop w:val="0"/>
      <w:marBottom w:val="0"/>
      <w:divBdr>
        <w:top w:val="none" w:sz="0" w:space="0" w:color="auto"/>
        <w:left w:val="none" w:sz="0" w:space="0" w:color="auto"/>
        <w:bottom w:val="none" w:sz="0" w:space="0" w:color="auto"/>
        <w:right w:val="none" w:sz="0" w:space="0" w:color="auto"/>
      </w:divBdr>
    </w:div>
    <w:div w:id="232745065">
      <w:bodyDiv w:val="1"/>
      <w:marLeft w:val="0"/>
      <w:marRight w:val="0"/>
      <w:marTop w:val="0"/>
      <w:marBottom w:val="0"/>
      <w:divBdr>
        <w:top w:val="none" w:sz="0" w:space="0" w:color="auto"/>
        <w:left w:val="none" w:sz="0" w:space="0" w:color="auto"/>
        <w:bottom w:val="none" w:sz="0" w:space="0" w:color="auto"/>
        <w:right w:val="none" w:sz="0" w:space="0" w:color="auto"/>
      </w:divBdr>
    </w:div>
    <w:div w:id="233593749">
      <w:bodyDiv w:val="1"/>
      <w:marLeft w:val="0"/>
      <w:marRight w:val="0"/>
      <w:marTop w:val="0"/>
      <w:marBottom w:val="0"/>
      <w:divBdr>
        <w:top w:val="none" w:sz="0" w:space="0" w:color="auto"/>
        <w:left w:val="none" w:sz="0" w:space="0" w:color="auto"/>
        <w:bottom w:val="none" w:sz="0" w:space="0" w:color="auto"/>
        <w:right w:val="none" w:sz="0" w:space="0" w:color="auto"/>
      </w:divBdr>
    </w:div>
    <w:div w:id="23443926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2014913">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72789227">
      <w:bodyDiv w:val="1"/>
      <w:marLeft w:val="0"/>
      <w:marRight w:val="0"/>
      <w:marTop w:val="0"/>
      <w:marBottom w:val="0"/>
      <w:divBdr>
        <w:top w:val="none" w:sz="0" w:space="0" w:color="auto"/>
        <w:left w:val="none" w:sz="0" w:space="0" w:color="auto"/>
        <w:bottom w:val="none" w:sz="0" w:space="0" w:color="auto"/>
        <w:right w:val="none" w:sz="0" w:space="0" w:color="auto"/>
      </w:divBdr>
    </w:div>
    <w:div w:id="273287632">
      <w:bodyDiv w:val="1"/>
      <w:marLeft w:val="0"/>
      <w:marRight w:val="0"/>
      <w:marTop w:val="0"/>
      <w:marBottom w:val="0"/>
      <w:divBdr>
        <w:top w:val="none" w:sz="0" w:space="0" w:color="auto"/>
        <w:left w:val="none" w:sz="0" w:space="0" w:color="auto"/>
        <w:bottom w:val="none" w:sz="0" w:space="0" w:color="auto"/>
        <w:right w:val="none" w:sz="0" w:space="0" w:color="auto"/>
      </w:divBdr>
    </w:div>
    <w:div w:id="282999844">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29062183">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13743162">
      <w:bodyDiv w:val="1"/>
      <w:marLeft w:val="0"/>
      <w:marRight w:val="0"/>
      <w:marTop w:val="0"/>
      <w:marBottom w:val="0"/>
      <w:divBdr>
        <w:top w:val="none" w:sz="0" w:space="0" w:color="auto"/>
        <w:left w:val="none" w:sz="0" w:space="0" w:color="auto"/>
        <w:bottom w:val="none" w:sz="0" w:space="0" w:color="auto"/>
        <w:right w:val="none" w:sz="0" w:space="0" w:color="auto"/>
      </w:divBdr>
    </w:div>
    <w:div w:id="425426605">
      <w:bodyDiv w:val="1"/>
      <w:marLeft w:val="0"/>
      <w:marRight w:val="0"/>
      <w:marTop w:val="0"/>
      <w:marBottom w:val="0"/>
      <w:divBdr>
        <w:top w:val="none" w:sz="0" w:space="0" w:color="auto"/>
        <w:left w:val="none" w:sz="0" w:space="0" w:color="auto"/>
        <w:bottom w:val="none" w:sz="0" w:space="0" w:color="auto"/>
        <w:right w:val="none" w:sz="0" w:space="0" w:color="auto"/>
      </w:divBdr>
    </w:div>
    <w:div w:id="426925563">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57530389">
      <w:bodyDiv w:val="1"/>
      <w:marLeft w:val="0"/>
      <w:marRight w:val="0"/>
      <w:marTop w:val="0"/>
      <w:marBottom w:val="0"/>
      <w:divBdr>
        <w:top w:val="none" w:sz="0" w:space="0" w:color="auto"/>
        <w:left w:val="none" w:sz="0" w:space="0" w:color="auto"/>
        <w:bottom w:val="none" w:sz="0" w:space="0" w:color="auto"/>
        <w:right w:val="none" w:sz="0" w:space="0" w:color="auto"/>
      </w:divBdr>
    </w:div>
    <w:div w:id="462040028">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87554675">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506553741">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12647596">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30411394">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59940984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06930943">
      <w:bodyDiv w:val="1"/>
      <w:marLeft w:val="0"/>
      <w:marRight w:val="0"/>
      <w:marTop w:val="0"/>
      <w:marBottom w:val="0"/>
      <w:divBdr>
        <w:top w:val="none" w:sz="0" w:space="0" w:color="auto"/>
        <w:left w:val="none" w:sz="0" w:space="0" w:color="auto"/>
        <w:bottom w:val="none" w:sz="0" w:space="0" w:color="auto"/>
        <w:right w:val="none" w:sz="0" w:space="0" w:color="auto"/>
      </w:divBdr>
    </w:div>
    <w:div w:id="611206850">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647444972">
      <w:bodyDiv w:val="1"/>
      <w:marLeft w:val="0"/>
      <w:marRight w:val="0"/>
      <w:marTop w:val="0"/>
      <w:marBottom w:val="0"/>
      <w:divBdr>
        <w:top w:val="none" w:sz="0" w:space="0" w:color="auto"/>
        <w:left w:val="none" w:sz="0" w:space="0" w:color="auto"/>
        <w:bottom w:val="none" w:sz="0" w:space="0" w:color="auto"/>
        <w:right w:val="none" w:sz="0" w:space="0" w:color="auto"/>
      </w:divBdr>
    </w:div>
    <w:div w:id="647709286">
      <w:bodyDiv w:val="1"/>
      <w:marLeft w:val="0"/>
      <w:marRight w:val="0"/>
      <w:marTop w:val="0"/>
      <w:marBottom w:val="0"/>
      <w:divBdr>
        <w:top w:val="none" w:sz="0" w:space="0" w:color="auto"/>
        <w:left w:val="none" w:sz="0" w:space="0" w:color="auto"/>
        <w:bottom w:val="none" w:sz="0" w:space="0" w:color="auto"/>
        <w:right w:val="none" w:sz="0" w:space="0" w:color="auto"/>
      </w:divBdr>
    </w:div>
    <w:div w:id="654190766">
      <w:bodyDiv w:val="1"/>
      <w:marLeft w:val="0"/>
      <w:marRight w:val="0"/>
      <w:marTop w:val="0"/>
      <w:marBottom w:val="0"/>
      <w:divBdr>
        <w:top w:val="none" w:sz="0" w:space="0" w:color="auto"/>
        <w:left w:val="none" w:sz="0" w:space="0" w:color="auto"/>
        <w:bottom w:val="none" w:sz="0" w:space="0" w:color="auto"/>
        <w:right w:val="none" w:sz="0" w:space="0" w:color="auto"/>
      </w:divBdr>
    </w:div>
    <w:div w:id="711075414">
      <w:bodyDiv w:val="1"/>
      <w:marLeft w:val="0"/>
      <w:marRight w:val="0"/>
      <w:marTop w:val="0"/>
      <w:marBottom w:val="0"/>
      <w:divBdr>
        <w:top w:val="none" w:sz="0" w:space="0" w:color="auto"/>
        <w:left w:val="none" w:sz="0" w:space="0" w:color="auto"/>
        <w:bottom w:val="none" w:sz="0" w:space="0" w:color="auto"/>
        <w:right w:val="none" w:sz="0" w:space="0" w:color="auto"/>
      </w:divBdr>
    </w:div>
    <w:div w:id="722868485">
      <w:bodyDiv w:val="1"/>
      <w:marLeft w:val="0"/>
      <w:marRight w:val="0"/>
      <w:marTop w:val="0"/>
      <w:marBottom w:val="0"/>
      <w:divBdr>
        <w:top w:val="none" w:sz="0" w:space="0" w:color="auto"/>
        <w:left w:val="none" w:sz="0" w:space="0" w:color="auto"/>
        <w:bottom w:val="none" w:sz="0" w:space="0" w:color="auto"/>
        <w:right w:val="none" w:sz="0" w:space="0" w:color="auto"/>
      </w:divBdr>
    </w:div>
    <w:div w:id="802501116">
      <w:bodyDiv w:val="1"/>
      <w:marLeft w:val="0"/>
      <w:marRight w:val="0"/>
      <w:marTop w:val="0"/>
      <w:marBottom w:val="0"/>
      <w:divBdr>
        <w:top w:val="none" w:sz="0" w:space="0" w:color="auto"/>
        <w:left w:val="none" w:sz="0" w:space="0" w:color="auto"/>
        <w:bottom w:val="none" w:sz="0" w:space="0" w:color="auto"/>
        <w:right w:val="none" w:sz="0" w:space="0" w:color="auto"/>
      </w:divBdr>
    </w:div>
    <w:div w:id="810632937">
      <w:bodyDiv w:val="1"/>
      <w:marLeft w:val="0"/>
      <w:marRight w:val="0"/>
      <w:marTop w:val="0"/>
      <w:marBottom w:val="0"/>
      <w:divBdr>
        <w:top w:val="none" w:sz="0" w:space="0" w:color="auto"/>
        <w:left w:val="none" w:sz="0" w:space="0" w:color="auto"/>
        <w:bottom w:val="none" w:sz="0" w:space="0" w:color="auto"/>
        <w:right w:val="none" w:sz="0" w:space="0" w:color="auto"/>
      </w:divBdr>
    </w:div>
    <w:div w:id="811141224">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813987463">
      <w:bodyDiv w:val="1"/>
      <w:marLeft w:val="0"/>
      <w:marRight w:val="0"/>
      <w:marTop w:val="0"/>
      <w:marBottom w:val="0"/>
      <w:divBdr>
        <w:top w:val="none" w:sz="0" w:space="0" w:color="auto"/>
        <w:left w:val="none" w:sz="0" w:space="0" w:color="auto"/>
        <w:bottom w:val="none" w:sz="0" w:space="0" w:color="auto"/>
        <w:right w:val="none" w:sz="0" w:space="0" w:color="auto"/>
      </w:divBdr>
    </w:div>
    <w:div w:id="830604567">
      <w:bodyDiv w:val="1"/>
      <w:marLeft w:val="0"/>
      <w:marRight w:val="0"/>
      <w:marTop w:val="0"/>
      <w:marBottom w:val="0"/>
      <w:divBdr>
        <w:top w:val="none" w:sz="0" w:space="0" w:color="auto"/>
        <w:left w:val="none" w:sz="0" w:space="0" w:color="auto"/>
        <w:bottom w:val="none" w:sz="0" w:space="0" w:color="auto"/>
        <w:right w:val="none" w:sz="0" w:space="0" w:color="auto"/>
      </w:divBdr>
    </w:div>
    <w:div w:id="851189873">
      <w:bodyDiv w:val="1"/>
      <w:marLeft w:val="0"/>
      <w:marRight w:val="0"/>
      <w:marTop w:val="0"/>
      <w:marBottom w:val="0"/>
      <w:divBdr>
        <w:top w:val="none" w:sz="0" w:space="0" w:color="auto"/>
        <w:left w:val="none" w:sz="0" w:space="0" w:color="auto"/>
        <w:bottom w:val="none" w:sz="0" w:space="0" w:color="auto"/>
        <w:right w:val="none" w:sz="0" w:space="0" w:color="auto"/>
      </w:divBdr>
    </w:div>
    <w:div w:id="853032986">
      <w:bodyDiv w:val="1"/>
      <w:marLeft w:val="0"/>
      <w:marRight w:val="0"/>
      <w:marTop w:val="0"/>
      <w:marBottom w:val="0"/>
      <w:divBdr>
        <w:top w:val="none" w:sz="0" w:space="0" w:color="auto"/>
        <w:left w:val="none" w:sz="0" w:space="0" w:color="auto"/>
        <w:bottom w:val="none" w:sz="0" w:space="0" w:color="auto"/>
        <w:right w:val="none" w:sz="0" w:space="0" w:color="auto"/>
      </w:divBdr>
    </w:div>
    <w:div w:id="864640598">
      <w:bodyDiv w:val="1"/>
      <w:marLeft w:val="0"/>
      <w:marRight w:val="0"/>
      <w:marTop w:val="0"/>
      <w:marBottom w:val="0"/>
      <w:divBdr>
        <w:top w:val="none" w:sz="0" w:space="0" w:color="auto"/>
        <w:left w:val="none" w:sz="0" w:space="0" w:color="auto"/>
        <w:bottom w:val="none" w:sz="0" w:space="0" w:color="auto"/>
        <w:right w:val="none" w:sz="0" w:space="0" w:color="auto"/>
      </w:divBdr>
    </w:div>
    <w:div w:id="882012288">
      <w:bodyDiv w:val="1"/>
      <w:marLeft w:val="0"/>
      <w:marRight w:val="0"/>
      <w:marTop w:val="0"/>
      <w:marBottom w:val="0"/>
      <w:divBdr>
        <w:top w:val="none" w:sz="0" w:space="0" w:color="auto"/>
        <w:left w:val="none" w:sz="0" w:space="0" w:color="auto"/>
        <w:bottom w:val="none" w:sz="0" w:space="0" w:color="auto"/>
        <w:right w:val="none" w:sz="0" w:space="0" w:color="auto"/>
      </w:divBdr>
    </w:div>
    <w:div w:id="898368282">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187147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923537583">
      <w:bodyDiv w:val="1"/>
      <w:marLeft w:val="0"/>
      <w:marRight w:val="0"/>
      <w:marTop w:val="0"/>
      <w:marBottom w:val="0"/>
      <w:divBdr>
        <w:top w:val="none" w:sz="0" w:space="0" w:color="auto"/>
        <w:left w:val="none" w:sz="0" w:space="0" w:color="auto"/>
        <w:bottom w:val="none" w:sz="0" w:space="0" w:color="auto"/>
        <w:right w:val="none" w:sz="0" w:space="0" w:color="auto"/>
      </w:divBdr>
    </w:div>
    <w:div w:id="933049454">
      <w:bodyDiv w:val="1"/>
      <w:marLeft w:val="0"/>
      <w:marRight w:val="0"/>
      <w:marTop w:val="0"/>
      <w:marBottom w:val="0"/>
      <w:divBdr>
        <w:top w:val="none" w:sz="0" w:space="0" w:color="auto"/>
        <w:left w:val="none" w:sz="0" w:space="0" w:color="auto"/>
        <w:bottom w:val="none" w:sz="0" w:space="0" w:color="auto"/>
        <w:right w:val="none" w:sz="0" w:space="0" w:color="auto"/>
      </w:divBdr>
    </w:div>
    <w:div w:id="934442401">
      <w:bodyDiv w:val="1"/>
      <w:marLeft w:val="0"/>
      <w:marRight w:val="0"/>
      <w:marTop w:val="0"/>
      <w:marBottom w:val="0"/>
      <w:divBdr>
        <w:top w:val="none" w:sz="0" w:space="0" w:color="auto"/>
        <w:left w:val="none" w:sz="0" w:space="0" w:color="auto"/>
        <w:bottom w:val="none" w:sz="0" w:space="0" w:color="auto"/>
        <w:right w:val="none" w:sz="0" w:space="0" w:color="auto"/>
      </w:divBdr>
    </w:div>
    <w:div w:id="939526933">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56259993">
      <w:bodyDiv w:val="1"/>
      <w:marLeft w:val="0"/>
      <w:marRight w:val="0"/>
      <w:marTop w:val="0"/>
      <w:marBottom w:val="0"/>
      <w:divBdr>
        <w:top w:val="none" w:sz="0" w:space="0" w:color="auto"/>
        <w:left w:val="none" w:sz="0" w:space="0" w:color="auto"/>
        <w:bottom w:val="none" w:sz="0" w:space="0" w:color="auto"/>
        <w:right w:val="none" w:sz="0" w:space="0" w:color="auto"/>
      </w:divBdr>
    </w:div>
    <w:div w:id="959800654">
      <w:bodyDiv w:val="1"/>
      <w:marLeft w:val="0"/>
      <w:marRight w:val="0"/>
      <w:marTop w:val="0"/>
      <w:marBottom w:val="0"/>
      <w:divBdr>
        <w:top w:val="none" w:sz="0" w:space="0" w:color="auto"/>
        <w:left w:val="none" w:sz="0" w:space="0" w:color="auto"/>
        <w:bottom w:val="none" w:sz="0" w:space="0" w:color="auto"/>
        <w:right w:val="none" w:sz="0" w:space="0" w:color="auto"/>
      </w:divBdr>
    </w:div>
    <w:div w:id="962200602">
      <w:bodyDiv w:val="1"/>
      <w:marLeft w:val="0"/>
      <w:marRight w:val="0"/>
      <w:marTop w:val="0"/>
      <w:marBottom w:val="0"/>
      <w:divBdr>
        <w:top w:val="none" w:sz="0" w:space="0" w:color="auto"/>
        <w:left w:val="none" w:sz="0" w:space="0" w:color="auto"/>
        <w:bottom w:val="none" w:sz="0" w:space="0" w:color="auto"/>
        <w:right w:val="none" w:sz="0" w:space="0" w:color="auto"/>
      </w:divBdr>
    </w:div>
    <w:div w:id="971784568">
      <w:bodyDiv w:val="1"/>
      <w:marLeft w:val="0"/>
      <w:marRight w:val="0"/>
      <w:marTop w:val="0"/>
      <w:marBottom w:val="0"/>
      <w:divBdr>
        <w:top w:val="none" w:sz="0" w:space="0" w:color="auto"/>
        <w:left w:val="none" w:sz="0" w:space="0" w:color="auto"/>
        <w:bottom w:val="none" w:sz="0" w:space="0" w:color="auto"/>
        <w:right w:val="none" w:sz="0" w:space="0" w:color="auto"/>
      </w:divBdr>
    </w:div>
    <w:div w:id="984817436">
      <w:bodyDiv w:val="1"/>
      <w:marLeft w:val="0"/>
      <w:marRight w:val="0"/>
      <w:marTop w:val="0"/>
      <w:marBottom w:val="0"/>
      <w:divBdr>
        <w:top w:val="none" w:sz="0" w:space="0" w:color="auto"/>
        <w:left w:val="none" w:sz="0" w:space="0" w:color="auto"/>
        <w:bottom w:val="none" w:sz="0" w:space="0" w:color="auto"/>
        <w:right w:val="none" w:sz="0" w:space="0" w:color="auto"/>
      </w:divBdr>
    </w:div>
    <w:div w:id="999234766">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43290490">
      <w:bodyDiv w:val="1"/>
      <w:marLeft w:val="0"/>
      <w:marRight w:val="0"/>
      <w:marTop w:val="0"/>
      <w:marBottom w:val="0"/>
      <w:divBdr>
        <w:top w:val="none" w:sz="0" w:space="0" w:color="auto"/>
        <w:left w:val="none" w:sz="0" w:space="0" w:color="auto"/>
        <w:bottom w:val="none" w:sz="0" w:space="0" w:color="auto"/>
        <w:right w:val="none" w:sz="0" w:space="0" w:color="auto"/>
      </w:divBdr>
    </w:div>
    <w:div w:id="1047724398">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1872380">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093938157">
      <w:bodyDiv w:val="1"/>
      <w:marLeft w:val="0"/>
      <w:marRight w:val="0"/>
      <w:marTop w:val="0"/>
      <w:marBottom w:val="0"/>
      <w:divBdr>
        <w:top w:val="none" w:sz="0" w:space="0" w:color="auto"/>
        <w:left w:val="none" w:sz="0" w:space="0" w:color="auto"/>
        <w:bottom w:val="none" w:sz="0" w:space="0" w:color="auto"/>
        <w:right w:val="none" w:sz="0" w:space="0" w:color="auto"/>
      </w:divBdr>
    </w:div>
    <w:div w:id="1121991967">
      <w:bodyDiv w:val="1"/>
      <w:marLeft w:val="0"/>
      <w:marRight w:val="0"/>
      <w:marTop w:val="0"/>
      <w:marBottom w:val="0"/>
      <w:divBdr>
        <w:top w:val="none" w:sz="0" w:space="0" w:color="auto"/>
        <w:left w:val="none" w:sz="0" w:space="0" w:color="auto"/>
        <w:bottom w:val="none" w:sz="0" w:space="0" w:color="auto"/>
        <w:right w:val="none" w:sz="0" w:space="0" w:color="auto"/>
      </w:divBdr>
    </w:div>
    <w:div w:id="1128360216">
      <w:bodyDiv w:val="1"/>
      <w:marLeft w:val="0"/>
      <w:marRight w:val="0"/>
      <w:marTop w:val="0"/>
      <w:marBottom w:val="0"/>
      <w:divBdr>
        <w:top w:val="none" w:sz="0" w:space="0" w:color="auto"/>
        <w:left w:val="none" w:sz="0" w:space="0" w:color="auto"/>
        <w:bottom w:val="none" w:sz="0" w:space="0" w:color="auto"/>
        <w:right w:val="none" w:sz="0" w:space="0" w:color="auto"/>
      </w:divBdr>
    </w:div>
    <w:div w:id="1132089148">
      <w:bodyDiv w:val="1"/>
      <w:marLeft w:val="0"/>
      <w:marRight w:val="0"/>
      <w:marTop w:val="0"/>
      <w:marBottom w:val="0"/>
      <w:divBdr>
        <w:top w:val="none" w:sz="0" w:space="0" w:color="auto"/>
        <w:left w:val="none" w:sz="0" w:space="0" w:color="auto"/>
        <w:bottom w:val="none" w:sz="0" w:space="0" w:color="auto"/>
        <w:right w:val="none" w:sz="0" w:space="0" w:color="auto"/>
      </w:divBdr>
    </w:div>
    <w:div w:id="1132363645">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82158930">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211459068">
      <w:bodyDiv w:val="1"/>
      <w:marLeft w:val="0"/>
      <w:marRight w:val="0"/>
      <w:marTop w:val="0"/>
      <w:marBottom w:val="0"/>
      <w:divBdr>
        <w:top w:val="none" w:sz="0" w:space="0" w:color="auto"/>
        <w:left w:val="none" w:sz="0" w:space="0" w:color="auto"/>
        <w:bottom w:val="none" w:sz="0" w:space="0" w:color="auto"/>
        <w:right w:val="none" w:sz="0" w:space="0" w:color="auto"/>
      </w:divBdr>
    </w:div>
    <w:div w:id="1219321739">
      <w:bodyDiv w:val="1"/>
      <w:marLeft w:val="0"/>
      <w:marRight w:val="0"/>
      <w:marTop w:val="0"/>
      <w:marBottom w:val="0"/>
      <w:divBdr>
        <w:top w:val="none" w:sz="0" w:space="0" w:color="auto"/>
        <w:left w:val="none" w:sz="0" w:space="0" w:color="auto"/>
        <w:bottom w:val="none" w:sz="0" w:space="0" w:color="auto"/>
        <w:right w:val="none" w:sz="0" w:space="0" w:color="auto"/>
      </w:divBdr>
    </w:div>
    <w:div w:id="1221476957">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45215286">
      <w:bodyDiv w:val="1"/>
      <w:marLeft w:val="0"/>
      <w:marRight w:val="0"/>
      <w:marTop w:val="0"/>
      <w:marBottom w:val="0"/>
      <w:divBdr>
        <w:top w:val="none" w:sz="0" w:space="0" w:color="auto"/>
        <w:left w:val="none" w:sz="0" w:space="0" w:color="auto"/>
        <w:bottom w:val="none" w:sz="0" w:space="0" w:color="auto"/>
        <w:right w:val="none" w:sz="0" w:space="0" w:color="auto"/>
      </w:divBdr>
    </w:div>
    <w:div w:id="1254898358">
      <w:bodyDiv w:val="1"/>
      <w:marLeft w:val="0"/>
      <w:marRight w:val="0"/>
      <w:marTop w:val="0"/>
      <w:marBottom w:val="0"/>
      <w:divBdr>
        <w:top w:val="none" w:sz="0" w:space="0" w:color="auto"/>
        <w:left w:val="none" w:sz="0" w:space="0" w:color="auto"/>
        <w:bottom w:val="none" w:sz="0" w:space="0" w:color="auto"/>
        <w:right w:val="none" w:sz="0" w:space="0" w:color="auto"/>
      </w:divBdr>
    </w:div>
    <w:div w:id="1272394333">
      <w:bodyDiv w:val="1"/>
      <w:marLeft w:val="0"/>
      <w:marRight w:val="0"/>
      <w:marTop w:val="0"/>
      <w:marBottom w:val="0"/>
      <w:divBdr>
        <w:top w:val="none" w:sz="0" w:space="0" w:color="auto"/>
        <w:left w:val="none" w:sz="0" w:space="0" w:color="auto"/>
        <w:bottom w:val="none" w:sz="0" w:space="0" w:color="auto"/>
        <w:right w:val="none" w:sz="0" w:space="0" w:color="auto"/>
      </w:divBdr>
    </w:div>
    <w:div w:id="1274744501">
      <w:bodyDiv w:val="1"/>
      <w:marLeft w:val="0"/>
      <w:marRight w:val="0"/>
      <w:marTop w:val="0"/>
      <w:marBottom w:val="0"/>
      <w:divBdr>
        <w:top w:val="none" w:sz="0" w:space="0" w:color="auto"/>
        <w:left w:val="none" w:sz="0" w:space="0" w:color="auto"/>
        <w:bottom w:val="none" w:sz="0" w:space="0" w:color="auto"/>
        <w:right w:val="none" w:sz="0" w:space="0" w:color="auto"/>
      </w:divBdr>
    </w:div>
    <w:div w:id="1275866632">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2613060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693485">
      <w:bodyDiv w:val="1"/>
      <w:marLeft w:val="0"/>
      <w:marRight w:val="0"/>
      <w:marTop w:val="0"/>
      <w:marBottom w:val="0"/>
      <w:divBdr>
        <w:top w:val="none" w:sz="0" w:space="0" w:color="auto"/>
        <w:left w:val="none" w:sz="0" w:space="0" w:color="auto"/>
        <w:bottom w:val="none" w:sz="0" w:space="0" w:color="auto"/>
        <w:right w:val="none" w:sz="0" w:space="0" w:color="auto"/>
      </w:divBdr>
    </w:div>
    <w:div w:id="1346520313">
      <w:bodyDiv w:val="1"/>
      <w:marLeft w:val="0"/>
      <w:marRight w:val="0"/>
      <w:marTop w:val="0"/>
      <w:marBottom w:val="0"/>
      <w:divBdr>
        <w:top w:val="none" w:sz="0" w:space="0" w:color="auto"/>
        <w:left w:val="none" w:sz="0" w:space="0" w:color="auto"/>
        <w:bottom w:val="none" w:sz="0" w:space="0" w:color="auto"/>
        <w:right w:val="none" w:sz="0" w:space="0" w:color="auto"/>
      </w:divBdr>
    </w:div>
    <w:div w:id="1372339904">
      <w:bodyDiv w:val="1"/>
      <w:marLeft w:val="0"/>
      <w:marRight w:val="0"/>
      <w:marTop w:val="0"/>
      <w:marBottom w:val="0"/>
      <w:divBdr>
        <w:top w:val="none" w:sz="0" w:space="0" w:color="auto"/>
        <w:left w:val="none" w:sz="0" w:space="0" w:color="auto"/>
        <w:bottom w:val="none" w:sz="0" w:space="0" w:color="auto"/>
        <w:right w:val="none" w:sz="0" w:space="0" w:color="auto"/>
      </w:divBdr>
    </w:div>
    <w:div w:id="1372878623">
      <w:bodyDiv w:val="1"/>
      <w:marLeft w:val="0"/>
      <w:marRight w:val="0"/>
      <w:marTop w:val="0"/>
      <w:marBottom w:val="0"/>
      <w:divBdr>
        <w:top w:val="none" w:sz="0" w:space="0" w:color="auto"/>
        <w:left w:val="none" w:sz="0" w:space="0" w:color="auto"/>
        <w:bottom w:val="none" w:sz="0" w:space="0" w:color="auto"/>
        <w:right w:val="none" w:sz="0" w:space="0" w:color="auto"/>
      </w:divBdr>
    </w:div>
    <w:div w:id="138852736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404911850">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69741298">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546794243">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608846591">
      <w:bodyDiv w:val="1"/>
      <w:marLeft w:val="0"/>
      <w:marRight w:val="0"/>
      <w:marTop w:val="0"/>
      <w:marBottom w:val="0"/>
      <w:divBdr>
        <w:top w:val="none" w:sz="0" w:space="0" w:color="auto"/>
        <w:left w:val="none" w:sz="0" w:space="0" w:color="auto"/>
        <w:bottom w:val="none" w:sz="0" w:space="0" w:color="auto"/>
        <w:right w:val="none" w:sz="0" w:space="0" w:color="auto"/>
      </w:divBdr>
    </w:div>
    <w:div w:id="1614094310">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31665078">
      <w:bodyDiv w:val="1"/>
      <w:marLeft w:val="0"/>
      <w:marRight w:val="0"/>
      <w:marTop w:val="0"/>
      <w:marBottom w:val="0"/>
      <w:divBdr>
        <w:top w:val="none" w:sz="0" w:space="0" w:color="auto"/>
        <w:left w:val="none" w:sz="0" w:space="0" w:color="auto"/>
        <w:bottom w:val="none" w:sz="0" w:space="0" w:color="auto"/>
        <w:right w:val="none" w:sz="0" w:space="0" w:color="auto"/>
      </w:divBdr>
    </w:div>
    <w:div w:id="1658529146">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82203319">
      <w:bodyDiv w:val="1"/>
      <w:marLeft w:val="0"/>
      <w:marRight w:val="0"/>
      <w:marTop w:val="0"/>
      <w:marBottom w:val="0"/>
      <w:divBdr>
        <w:top w:val="none" w:sz="0" w:space="0" w:color="auto"/>
        <w:left w:val="none" w:sz="0" w:space="0" w:color="auto"/>
        <w:bottom w:val="none" w:sz="0" w:space="0" w:color="auto"/>
        <w:right w:val="none" w:sz="0" w:space="0" w:color="auto"/>
      </w:divBdr>
    </w:div>
    <w:div w:id="1684437191">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69059915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704014151">
      <w:bodyDiv w:val="1"/>
      <w:marLeft w:val="0"/>
      <w:marRight w:val="0"/>
      <w:marTop w:val="0"/>
      <w:marBottom w:val="0"/>
      <w:divBdr>
        <w:top w:val="none" w:sz="0" w:space="0" w:color="auto"/>
        <w:left w:val="none" w:sz="0" w:space="0" w:color="auto"/>
        <w:bottom w:val="none" w:sz="0" w:space="0" w:color="auto"/>
        <w:right w:val="none" w:sz="0" w:space="0" w:color="auto"/>
      </w:divBdr>
    </w:div>
    <w:div w:id="1748529953">
      <w:bodyDiv w:val="1"/>
      <w:marLeft w:val="0"/>
      <w:marRight w:val="0"/>
      <w:marTop w:val="0"/>
      <w:marBottom w:val="0"/>
      <w:divBdr>
        <w:top w:val="none" w:sz="0" w:space="0" w:color="auto"/>
        <w:left w:val="none" w:sz="0" w:space="0" w:color="auto"/>
        <w:bottom w:val="none" w:sz="0" w:space="0" w:color="auto"/>
        <w:right w:val="none" w:sz="0" w:space="0" w:color="auto"/>
      </w:divBdr>
    </w:div>
    <w:div w:id="1767190017">
      <w:bodyDiv w:val="1"/>
      <w:marLeft w:val="0"/>
      <w:marRight w:val="0"/>
      <w:marTop w:val="0"/>
      <w:marBottom w:val="0"/>
      <w:divBdr>
        <w:top w:val="none" w:sz="0" w:space="0" w:color="auto"/>
        <w:left w:val="none" w:sz="0" w:space="0" w:color="auto"/>
        <w:bottom w:val="none" w:sz="0" w:space="0" w:color="auto"/>
        <w:right w:val="none" w:sz="0" w:space="0" w:color="auto"/>
      </w:divBdr>
    </w:div>
    <w:div w:id="1784419185">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797019225">
      <w:bodyDiv w:val="1"/>
      <w:marLeft w:val="0"/>
      <w:marRight w:val="0"/>
      <w:marTop w:val="0"/>
      <w:marBottom w:val="0"/>
      <w:divBdr>
        <w:top w:val="none" w:sz="0" w:space="0" w:color="auto"/>
        <w:left w:val="none" w:sz="0" w:space="0" w:color="auto"/>
        <w:bottom w:val="none" w:sz="0" w:space="0" w:color="auto"/>
        <w:right w:val="none" w:sz="0" w:space="0" w:color="auto"/>
      </w:divBdr>
    </w:div>
    <w:div w:id="1802459936">
      <w:bodyDiv w:val="1"/>
      <w:marLeft w:val="0"/>
      <w:marRight w:val="0"/>
      <w:marTop w:val="0"/>
      <w:marBottom w:val="0"/>
      <w:divBdr>
        <w:top w:val="none" w:sz="0" w:space="0" w:color="auto"/>
        <w:left w:val="none" w:sz="0" w:space="0" w:color="auto"/>
        <w:bottom w:val="none" w:sz="0" w:space="0" w:color="auto"/>
        <w:right w:val="none" w:sz="0" w:space="0" w:color="auto"/>
      </w:divBdr>
    </w:div>
    <w:div w:id="1804496286">
      <w:bodyDiv w:val="1"/>
      <w:marLeft w:val="0"/>
      <w:marRight w:val="0"/>
      <w:marTop w:val="0"/>
      <w:marBottom w:val="0"/>
      <w:divBdr>
        <w:top w:val="none" w:sz="0" w:space="0" w:color="auto"/>
        <w:left w:val="none" w:sz="0" w:space="0" w:color="auto"/>
        <w:bottom w:val="none" w:sz="0" w:space="0" w:color="auto"/>
        <w:right w:val="none" w:sz="0" w:space="0" w:color="auto"/>
      </w:divBdr>
    </w:div>
    <w:div w:id="1809206068">
      <w:bodyDiv w:val="1"/>
      <w:marLeft w:val="0"/>
      <w:marRight w:val="0"/>
      <w:marTop w:val="0"/>
      <w:marBottom w:val="0"/>
      <w:divBdr>
        <w:top w:val="none" w:sz="0" w:space="0" w:color="auto"/>
        <w:left w:val="none" w:sz="0" w:space="0" w:color="auto"/>
        <w:bottom w:val="none" w:sz="0" w:space="0" w:color="auto"/>
        <w:right w:val="none" w:sz="0" w:space="0" w:color="auto"/>
      </w:divBdr>
    </w:div>
    <w:div w:id="1832405595">
      <w:bodyDiv w:val="1"/>
      <w:marLeft w:val="0"/>
      <w:marRight w:val="0"/>
      <w:marTop w:val="0"/>
      <w:marBottom w:val="0"/>
      <w:divBdr>
        <w:top w:val="none" w:sz="0" w:space="0" w:color="auto"/>
        <w:left w:val="none" w:sz="0" w:space="0" w:color="auto"/>
        <w:bottom w:val="none" w:sz="0" w:space="0" w:color="auto"/>
        <w:right w:val="none" w:sz="0" w:space="0" w:color="auto"/>
      </w:divBdr>
    </w:div>
    <w:div w:id="1835218022">
      <w:bodyDiv w:val="1"/>
      <w:marLeft w:val="0"/>
      <w:marRight w:val="0"/>
      <w:marTop w:val="0"/>
      <w:marBottom w:val="0"/>
      <w:divBdr>
        <w:top w:val="none" w:sz="0" w:space="0" w:color="auto"/>
        <w:left w:val="none" w:sz="0" w:space="0" w:color="auto"/>
        <w:bottom w:val="none" w:sz="0" w:space="0" w:color="auto"/>
        <w:right w:val="none" w:sz="0" w:space="0" w:color="auto"/>
      </w:divBdr>
    </w:div>
    <w:div w:id="1855921008">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2384244">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894468167">
      <w:bodyDiv w:val="1"/>
      <w:marLeft w:val="0"/>
      <w:marRight w:val="0"/>
      <w:marTop w:val="0"/>
      <w:marBottom w:val="0"/>
      <w:divBdr>
        <w:top w:val="none" w:sz="0" w:space="0" w:color="auto"/>
        <w:left w:val="none" w:sz="0" w:space="0" w:color="auto"/>
        <w:bottom w:val="none" w:sz="0" w:space="0" w:color="auto"/>
        <w:right w:val="none" w:sz="0" w:space="0" w:color="auto"/>
      </w:divBdr>
    </w:div>
    <w:div w:id="1899633504">
      <w:bodyDiv w:val="1"/>
      <w:marLeft w:val="0"/>
      <w:marRight w:val="0"/>
      <w:marTop w:val="0"/>
      <w:marBottom w:val="0"/>
      <w:divBdr>
        <w:top w:val="none" w:sz="0" w:space="0" w:color="auto"/>
        <w:left w:val="none" w:sz="0" w:space="0" w:color="auto"/>
        <w:bottom w:val="none" w:sz="0" w:space="0" w:color="auto"/>
        <w:right w:val="none" w:sz="0" w:space="0" w:color="auto"/>
      </w:divBdr>
    </w:div>
    <w:div w:id="1913464579">
      <w:bodyDiv w:val="1"/>
      <w:marLeft w:val="0"/>
      <w:marRight w:val="0"/>
      <w:marTop w:val="0"/>
      <w:marBottom w:val="0"/>
      <w:divBdr>
        <w:top w:val="none" w:sz="0" w:space="0" w:color="auto"/>
        <w:left w:val="none" w:sz="0" w:space="0" w:color="auto"/>
        <w:bottom w:val="none" w:sz="0" w:space="0" w:color="auto"/>
        <w:right w:val="none" w:sz="0" w:space="0" w:color="auto"/>
      </w:divBdr>
    </w:div>
    <w:div w:id="1918585548">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33662521">
      <w:bodyDiv w:val="1"/>
      <w:marLeft w:val="0"/>
      <w:marRight w:val="0"/>
      <w:marTop w:val="0"/>
      <w:marBottom w:val="0"/>
      <w:divBdr>
        <w:top w:val="none" w:sz="0" w:space="0" w:color="auto"/>
        <w:left w:val="none" w:sz="0" w:space="0" w:color="auto"/>
        <w:bottom w:val="none" w:sz="0" w:space="0" w:color="auto"/>
        <w:right w:val="none" w:sz="0" w:space="0" w:color="auto"/>
      </w:divBdr>
    </w:div>
    <w:div w:id="1960839100">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1984003066">
      <w:bodyDiv w:val="1"/>
      <w:marLeft w:val="0"/>
      <w:marRight w:val="0"/>
      <w:marTop w:val="0"/>
      <w:marBottom w:val="0"/>
      <w:divBdr>
        <w:top w:val="none" w:sz="0" w:space="0" w:color="auto"/>
        <w:left w:val="none" w:sz="0" w:space="0" w:color="auto"/>
        <w:bottom w:val="none" w:sz="0" w:space="0" w:color="auto"/>
        <w:right w:val="none" w:sz="0" w:space="0" w:color="auto"/>
      </w:divBdr>
    </w:div>
    <w:div w:id="1985352321">
      <w:bodyDiv w:val="1"/>
      <w:marLeft w:val="0"/>
      <w:marRight w:val="0"/>
      <w:marTop w:val="0"/>
      <w:marBottom w:val="0"/>
      <w:divBdr>
        <w:top w:val="none" w:sz="0" w:space="0" w:color="auto"/>
        <w:left w:val="none" w:sz="0" w:space="0" w:color="auto"/>
        <w:bottom w:val="none" w:sz="0" w:space="0" w:color="auto"/>
        <w:right w:val="none" w:sz="0" w:space="0" w:color="auto"/>
      </w:divBdr>
    </w:div>
    <w:div w:id="1987121237">
      <w:bodyDiv w:val="1"/>
      <w:marLeft w:val="0"/>
      <w:marRight w:val="0"/>
      <w:marTop w:val="0"/>
      <w:marBottom w:val="0"/>
      <w:divBdr>
        <w:top w:val="none" w:sz="0" w:space="0" w:color="auto"/>
        <w:left w:val="none" w:sz="0" w:space="0" w:color="auto"/>
        <w:bottom w:val="none" w:sz="0" w:space="0" w:color="auto"/>
        <w:right w:val="none" w:sz="0" w:space="0" w:color="auto"/>
      </w:divBdr>
    </w:div>
    <w:div w:id="1990548993">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26129598">
      <w:bodyDiv w:val="1"/>
      <w:marLeft w:val="0"/>
      <w:marRight w:val="0"/>
      <w:marTop w:val="0"/>
      <w:marBottom w:val="0"/>
      <w:divBdr>
        <w:top w:val="none" w:sz="0" w:space="0" w:color="auto"/>
        <w:left w:val="none" w:sz="0" w:space="0" w:color="auto"/>
        <w:bottom w:val="none" w:sz="0" w:space="0" w:color="auto"/>
        <w:right w:val="none" w:sz="0" w:space="0" w:color="auto"/>
      </w:divBdr>
    </w:div>
    <w:div w:id="2034069326">
      <w:bodyDiv w:val="1"/>
      <w:marLeft w:val="0"/>
      <w:marRight w:val="0"/>
      <w:marTop w:val="0"/>
      <w:marBottom w:val="0"/>
      <w:divBdr>
        <w:top w:val="none" w:sz="0" w:space="0" w:color="auto"/>
        <w:left w:val="none" w:sz="0" w:space="0" w:color="auto"/>
        <w:bottom w:val="none" w:sz="0" w:space="0" w:color="auto"/>
        <w:right w:val="none" w:sz="0" w:space="0" w:color="auto"/>
      </w:divBdr>
    </w:div>
    <w:div w:id="2044865177">
      <w:bodyDiv w:val="1"/>
      <w:marLeft w:val="0"/>
      <w:marRight w:val="0"/>
      <w:marTop w:val="0"/>
      <w:marBottom w:val="0"/>
      <w:divBdr>
        <w:top w:val="none" w:sz="0" w:space="0" w:color="auto"/>
        <w:left w:val="none" w:sz="0" w:space="0" w:color="auto"/>
        <w:bottom w:val="none" w:sz="0" w:space="0" w:color="auto"/>
        <w:right w:val="none" w:sz="0" w:space="0" w:color="auto"/>
      </w:divBdr>
    </w:div>
    <w:div w:id="2059157302">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77514191">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17015325">
      <w:bodyDiv w:val="1"/>
      <w:marLeft w:val="0"/>
      <w:marRight w:val="0"/>
      <w:marTop w:val="0"/>
      <w:marBottom w:val="0"/>
      <w:divBdr>
        <w:top w:val="none" w:sz="0" w:space="0" w:color="auto"/>
        <w:left w:val="none" w:sz="0" w:space="0" w:color="auto"/>
        <w:bottom w:val="none" w:sz="0" w:space="0" w:color="auto"/>
        <w:right w:val="none" w:sz="0" w:space="0" w:color="auto"/>
      </w:divBdr>
    </w:div>
    <w:div w:id="21226020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2532261">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 w:id="21473077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235AC-D0BA-4017-BAAB-CAA748AB1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1725</Words>
  <Characters>9835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11537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 (Xiaox)_v2</cp:lastModifiedBy>
  <cp:revision>5</cp:revision>
  <cp:lastPrinted>1899-12-31T16:00:00Z</cp:lastPrinted>
  <dcterms:created xsi:type="dcterms:W3CDTF">2020-10-22T06:43:00Z</dcterms:created>
  <dcterms:modified xsi:type="dcterms:W3CDTF">2020-10-22T06:52:00Z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(3)ZRWatGyt8OD9eTRtIrFc5uEBctXeinVCfnpo9bB6yP5kZ0l1gn/mXfViMOctHP+mG2WpQ9sZ
yFfhwxjDSNstNq74Jlci63jiQEvPdMQiVwx2R6YsQ/6VZmEqdtT29fYQLVJsXPFg9eiwl6o3
wSsXvMQAfHb5UUzpQt9IQ4/pxJ1qmDO3DVwDMYC/GkvZAzbm0kJh8fkQpmAdQpNW/hVWPpub
Vjhs48xSbnyHeWrPXj</vt:lpwstr>
  </property>
  <property fmtid="{D5CDD505-2E9C-101B-9397-08002B2CF9AE}" pid="4" name="_2015_ms_pID_7253431">
    <vt:lpwstr>RyUMWDco2fd5Mp3LPq8D7x+LZFAiePUIWNkrMdDhoEGnyA9n5CkD3A
pXx4e8SAXlZMvefLYsPmOrN0CKt0rV6mxS1znhtovhle5RVp/dDq38FAw3xuV0VcxWOHB6U3
uKNyzBo4G6ftGGUM+sE/142Wyo6WQM70bpTOqZcIXawVQU3wNZeRHI+2QpCu85P+hIZXIJZA
+L4iwZe4uKHt2OoFW9OiVKbb74i9USWuK1qw</vt:lpwstr>
  </property>
  <property fmtid="{D5CDD505-2E9C-101B-9397-08002B2CF9AE}" pid="5" name="_2015_ms_pID_7253432">
    <vt:lpwstr>SQ==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1603348962</vt:lpwstr>
  </property>
</Properties>
</file>